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B723D5" w:rsidRPr="008D402A" w14:paraId="022B4B33" w14:textId="77777777" w:rsidTr="0022319C">
        <w:trPr>
          <w:trHeight w:val="1980"/>
        </w:trPr>
        <w:tc>
          <w:tcPr>
            <w:tcW w:w="2830" w:type="dxa"/>
          </w:tcPr>
          <w:p w14:paraId="76C37D41" w14:textId="77777777" w:rsidR="00B723D5" w:rsidRPr="00C265C7" w:rsidRDefault="00B723D5" w:rsidP="0022319C">
            <w:pPr>
              <w:rPr>
                <w:rFonts w:cs="Arial"/>
                <w:b/>
              </w:rPr>
            </w:pPr>
            <w:r w:rsidRPr="00C265C7">
              <w:rPr>
                <w:rFonts w:cs="Arial"/>
                <w:b/>
              </w:rPr>
              <w:t>801 klinická biochemie</w:t>
            </w:r>
          </w:p>
          <w:p w14:paraId="44A9235E" w14:textId="77777777" w:rsidR="00B723D5" w:rsidRDefault="00B723D5" w:rsidP="0022319C">
            <w:pPr>
              <w:rPr>
                <w:rFonts w:cs="Arial"/>
              </w:rPr>
            </w:pPr>
          </w:p>
          <w:p w14:paraId="27BEB7A0" w14:textId="77777777" w:rsidR="00B723D5" w:rsidRPr="00346BE1" w:rsidRDefault="00B723D5" w:rsidP="0022319C">
            <w:pPr>
              <w:rPr>
                <w:rFonts w:cs="Arial"/>
              </w:rPr>
            </w:pPr>
            <w:r w:rsidRPr="00C265C7">
              <w:rPr>
                <w:rFonts w:cs="Arial"/>
              </w:rPr>
              <w:t>Česká společnost klinické biochemie</w:t>
            </w:r>
            <w:r>
              <w:rPr>
                <w:rFonts w:cs="Arial"/>
              </w:rPr>
              <w:t xml:space="preserve"> ČLS JEP</w:t>
            </w:r>
          </w:p>
        </w:tc>
        <w:tc>
          <w:tcPr>
            <w:tcW w:w="4962" w:type="dxa"/>
          </w:tcPr>
          <w:p w14:paraId="5A972CDF" w14:textId="77777777" w:rsidR="00B723D5" w:rsidRPr="00B723D5" w:rsidRDefault="00B723D5" w:rsidP="0022319C">
            <w:pPr>
              <w:spacing w:after="160" w:line="259" w:lineRule="auto"/>
              <w:contextualSpacing/>
              <w:jc w:val="both"/>
              <w:rPr>
                <w:rFonts w:cs="Arial"/>
                <w:b/>
                <w:color w:val="EE0000"/>
              </w:rPr>
            </w:pPr>
            <w:r w:rsidRPr="00B723D5">
              <w:rPr>
                <w:rFonts w:cs="Arial"/>
                <w:b/>
                <w:color w:val="EE0000"/>
              </w:rPr>
              <w:t xml:space="preserve">KVANTITATIVNÍ STANOVENÍ POMĚRU MXA/CRP (POCT) </w:t>
            </w:r>
            <w:r w:rsidRPr="00B723D5">
              <w:rPr>
                <w:rFonts w:cs="Arial"/>
                <w:color w:val="EE0000"/>
              </w:rPr>
              <w:t>– nový výkon</w:t>
            </w:r>
            <w:r w:rsidRPr="00B723D5">
              <w:rPr>
                <w:rFonts w:cs="Arial"/>
                <w:b/>
                <w:color w:val="EE0000"/>
              </w:rPr>
              <w:t xml:space="preserve"> </w:t>
            </w:r>
          </w:p>
          <w:p w14:paraId="74A1463E" w14:textId="77777777" w:rsidR="00B723D5" w:rsidRPr="00B723D5" w:rsidRDefault="00B723D5" w:rsidP="0022319C">
            <w:pPr>
              <w:spacing w:after="160" w:line="259" w:lineRule="auto"/>
              <w:contextualSpacing/>
              <w:rPr>
                <w:rFonts w:cs="Arial"/>
                <w:b/>
                <w:color w:val="EE0000"/>
              </w:rPr>
            </w:pPr>
          </w:p>
        </w:tc>
        <w:tc>
          <w:tcPr>
            <w:tcW w:w="6095" w:type="dxa"/>
          </w:tcPr>
          <w:p w14:paraId="6A10B38E" w14:textId="77777777" w:rsidR="00B723D5" w:rsidRPr="00C70FF1" w:rsidRDefault="00B723D5" w:rsidP="0022319C">
            <w:pPr>
              <w:jc w:val="both"/>
              <w:rPr>
                <w:rFonts w:cs="Arial"/>
                <w:b/>
              </w:rPr>
            </w:pPr>
            <w:r w:rsidRPr="00C70FF1">
              <w:rPr>
                <w:rFonts w:cs="Arial"/>
                <w:b/>
              </w:rPr>
              <w:t xml:space="preserve">Připomínky: </w:t>
            </w:r>
          </w:p>
          <w:p w14:paraId="1DC53251" w14:textId="3CB4F20D" w:rsidR="00B723D5" w:rsidRPr="00C70FF1" w:rsidRDefault="00B723D5" w:rsidP="00B723D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cs="Arial"/>
              </w:rPr>
            </w:pPr>
            <w:bookmarkStart w:id="0" w:name="_Hlk212718207"/>
            <w:r w:rsidRPr="00C70FF1">
              <w:rPr>
                <w:rFonts w:cs="Arial"/>
              </w:rPr>
              <w:t xml:space="preserve">Pokud má nové vyšetření zčásti nahradit a je přesnější než CRP, nutno specifikovat, kdy má být prováděno CRP a kdy nový test. Stanovení indikací nutné. </w:t>
            </w:r>
            <w:bookmarkEnd w:id="0"/>
            <w:r w:rsidR="00474790" w:rsidRPr="00C70FF1">
              <w:rPr>
                <w:rFonts w:cs="Arial"/>
              </w:rPr>
              <w:t>(příloha: Klinické doporučení.</w:t>
            </w:r>
          </w:p>
          <w:p w14:paraId="31281E33" w14:textId="1B4D7AC5" w:rsidR="00B723D5" w:rsidRPr="00C70FF1" w:rsidRDefault="00B723D5" w:rsidP="00B723D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cs="Arial"/>
              </w:rPr>
            </w:pPr>
            <w:r w:rsidRPr="00C70FF1">
              <w:rPr>
                <w:rFonts w:cs="Arial"/>
              </w:rPr>
              <w:t xml:space="preserve">Je tato metoda hrazena již i v EU (v registračním listu je uveden údaj o úhradě v USA)? </w:t>
            </w:r>
          </w:p>
          <w:p w14:paraId="6B1B5D05" w14:textId="0E9E5997" w:rsidR="00B723D5" w:rsidRPr="00C70FF1" w:rsidRDefault="00B723D5" w:rsidP="00B723D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cs="Arial"/>
              </w:rPr>
            </w:pPr>
            <w:r w:rsidRPr="00C70FF1">
              <w:rPr>
                <w:rFonts w:cs="Arial"/>
              </w:rPr>
              <w:t xml:space="preserve">V popisu výkonu je rovněž nutno specifikovat zakázané kombinace s jinými výkony. </w:t>
            </w:r>
          </w:p>
          <w:p w14:paraId="13CC887F" w14:textId="502FC9B3" w:rsidR="00B723D5" w:rsidRPr="00C70FF1" w:rsidRDefault="00B723D5" w:rsidP="00C70FF1">
            <w:pPr>
              <w:pStyle w:val="Odstavecseseznamem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contextualSpacing w:val="0"/>
              <w:jc w:val="both"/>
              <w:rPr>
                <w:rFonts w:cs="Arial"/>
              </w:rPr>
            </w:pPr>
            <w:r w:rsidRPr="00C70FF1">
              <w:rPr>
                <w:rFonts w:cs="Arial"/>
              </w:rPr>
              <w:t xml:space="preserve">S předchozí připomínkou souvisí i připomínka k rozsáhlému sdílení výkonu. </w:t>
            </w:r>
            <w:bookmarkStart w:id="1" w:name="_Hlk212718252"/>
            <w:r w:rsidRPr="00C70FF1">
              <w:rPr>
                <w:rFonts w:cs="Arial"/>
              </w:rPr>
              <w:t>Dle indikací nutno nastavit sdílející odbornosti.</w:t>
            </w:r>
            <w:bookmarkEnd w:id="1"/>
            <w:r w:rsidRPr="00C70FF1">
              <w:rPr>
                <w:rFonts w:cs="Arial"/>
              </w:rPr>
              <w:t xml:space="preserve"> </w:t>
            </w:r>
          </w:p>
          <w:p w14:paraId="289D3765" w14:textId="33F1F134" w:rsidR="00B723D5" w:rsidRPr="00C70FF1" w:rsidRDefault="00B723D5" w:rsidP="00C70FF1">
            <w:pPr>
              <w:pStyle w:val="Odstavecseseznamem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contextualSpacing w:val="0"/>
              <w:jc w:val="both"/>
              <w:rPr>
                <w:rFonts w:cs="Arial"/>
              </w:rPr>
            </w:pPr>
            <w:r w:rsidRPr="00C70FF1">
              <w:rPr>
                <w:rFonts w:cs="Arial"/>
              </w:rPr>
              <w:t xml:space="preserve">Frekvenční omezení – žádáme o doplnění frekvence v delším časovém horizontu. </w:t>
            </w:r>
            <w:r w:rsidRPr="00C70FF1">
              <w:rPr>
                <w:rFonts w:cs="Arial"/>
                <w:color w:val="EE0000"/>
              </w:rPr>
              <w:t xml:space="preserve">stabilita </w:t>
            </w:r>
            <w:proofErr w:type="spellStart"/>
            <w:r w:rsidRPr="00C70FF1">
              <w:rPr>
                <w:rFonts w:cs="Arial"/>
                <w:color w:val="EE0000"/>
              </w:rPr>
              <w:t>MxA</w:t>
            </w:r>
            <w:proofErr w:type="spellEnd"/>
            <w:r w:rsidRPr="00C70FF1">
              <w:rPr>
                <w:rFonts w:cs="Arial"/>
                <w:color w:val="EE0000"/>
              </w:rPr>
              <w:t>, vývoj křivky</w:t>
            </w:r>
            <w:r w:rsidR="00872099" w:rsidRPr="00C70FF1">
              <w:rPr>
                <w:rFonts w:cs="Arial"/>
                <w:color w:val="EE0000"/>
              </w:rPr>
              <w:t xml:space="preserve">, </w:t>
            </w:r>
            <w:proofErr w:type="spellStart"/>
            <w:r w:rsidR="00872099" w:rsidRPr="00C70FF1">
              <w:rPr>
                <w:rFonts w:cs="Arial"/>
                <w:color w:val="EE0000"/>
              </w:rPr>
              <w:t>MxA</w:t>
            </w:r>
            <w:proofErr w:type="spellEnd"/>
            <w:r w:rsidR="00872099" w:rsidRPr="00C70FF1">
              <w:rPr>
                <w:rFonts w:cs="Arial"/>
                <w:color w:val="EE0000"/>
              </w:rPr>
              <w:t xml:space="preserve"> nastupuje </w:t>
            </w:r>
            <w:r w:rsidR="00C018DC">
              <w:rPr>
                <w:rFonts w:cs="Arial"/>
                <w:color w:val="EE0000"/>
              </w:rPr>
              <w:t xml:space="preserve">už </w:t>
            </w:r>
            <w:r w:rsidR="00872099" w:rsidRPr="00C70FF1">
              <w:rPr>
                <w:rFonts w:cs="Arial"/>
                <w:color w:val="EE0000"/>
              </w:rPr>
              <w:t>po 1,2 hodinách a jeho detekce je ještě dalších 10 dnů</w:t>
            </w:r>
            <w:r w:rsidR="00C018DC">
              <w:rPr>
                <w:rFonts w:cs="Arial"/>
                <w:color w:val="EE0000"/>
              </w:rPr>
              <w:t>. V případě re-testu doporučení za 6-24 hodin.</w:t>
            </w:r>
          </w:p>
          <w:p w14:paraId="3262ED91" w14:textId="4823C4D7" w:rsidR="00B723D5" w:rsidRPr="00C70FF1" w:rsidRDefault="00B723D5" w:rsidP="00B723D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cs="Arial"/>
              </w:rPr>
            </w:pPr>
            <w:r w:rsidRPr="00C70FF1">
              <w:rPr>
                <w:rFonts w:cs="Arial"/>
              </w:rPr>
              <w:t xml:space="preserve">Do odstavce Podmínka doporučujeme uvést: doložení platného osvědčení o provedené externí a interní kontrole. </w:t>
            </w:r>
            <w:proofErr w:type="spellStart"/>
            <w:r w:rsidRPr="00C70FF1">
              <w:rPr>
                <w:rFonts w:cs="Arial"/>
                <w:color w:val="EE0000"/>
              </w:rPr>
              <w:t>MxA</w:t>
            </w:r>
            <w:proofErr w:type="spellEnd"/>
            <w:r w:rsidRPr="00C70FF1">
              <w:rPr>
                <w:rFonts w:cs="Arial"/>
                <w:color w:val="EE0000"/>
              </w:rPr>
              <w:t xml:space="preserve"> je nový parametr, který se teprve dostává do povědomí odborníků a kliniků a externí kontrola ve světě doposud není dostupná. </w:t>
            </w:r>
            <w:r w:rsidR="00872099" w:rsidRPr="00C70FF1">
              <w:rPr>
                <w:rFonts w:cs="Arial"/>
                <w:color w:val="EE0000"/>
              </w:rPr>
              <w:t>Prozatím neexistující ú</w:t>
            </w:r>
            <w:r w:rsidRPr="00C70FF1">
              <w:rPr>
                <w:rFonts w:cs="Arial"/>
                <w:color w:val="EE0000"/>
              </w:rPr>
              <w:t xml:space="preserve">hrada tohoto markeru brání jeho rozšiřování v praxi. Se zvyšováním povědomí o účinnosti a pomoci této kombinace </w:t>
            </w:r>
            <w:proofErr w:type="spellStart"/>
            <w:r w:rsidR="000227F2" w:rsidRPr="00C70FF1">
              <w:rPr>
                <w:rFonts w:cs="Arial"/>
                <w:color w:val="EE0000"/>
              </w:rPr>
              <w:t>MxA</w:t>
            </w:r>
            <w:proofErr w:type="spellEnd"/>
            <w:r w:rsidR="000227F2" w:rsidRPr="00C70FF1">
              <w:rPr>
                <w:rFonts w:cs="Arial"/>
                <w:color w:val="EE0000"/>
              </w:rPr>
              <w:t>/CRP v ATB preskripci, očekáváme i vývoj externího kontrolního materiálu. Nyní požadujeme formulaci „Doložení pravidelného provádění interní kontroly kvality a externí kontroly kvality, pokud je na trhu dostupná.“</w:t>
            </w:r>
          </w:p>
          <w:p w14:paraId="18409F48" w14:textId="77777777" w:rsidR="00B723D5" w:rsidRPr="00C70FF1" w:rsidRDefault="00B723D5" w:rsidP="0022319C">
            <w:pPr>
              <w:pStyle w:val="Odstavecseseznamem"/>
              <w:jc w:val="both"/>
              <w:rPr>
                <w:rFonts w:cs="Arial"/>
              </w:rPr>
            </w:pPr>
          </w:p>
        </w:tc>
      </w:tr>
    </w:tbl>
    <w:p w14:paraId="6D8B48FF" w14:textId="77777777" w:rsidR="00591C68" w:rsidRDefault="00591C68"/>
    <w:p w14:paraId="5000B5E3" w14:textId="376835AD" w:rsidR="005C331E" w:rsidRPr="00C018DC" w:rsidRDefault="008E11A7" w:rsidP="008E11A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</w:rPr>
      </w:pPr>
      <w:r w:rsidRPr="00C018DC">
        <w:rPr>
          <w:rFonts w:cs="Arial"/>
        </w:rPr>
        <w:lastRenderedPageBreak/>
        <w:t xml:space="preserve">Frekvenční omezení – žádáme o doplnění frekvence v delším časovém horizontu. </w:t>
      </w:r>
      <w:r w:rsidRPr="00C018DC">
        <w:rPr>
          <w:rFonts w:cs="Arial"/>
          <w:color w:val="EE0000"/>
        </w:rPr>
        <w:t xml:space="preserve">stabilita </w:t>
      </w:r>
      <w:proofErr w:type="spellStart"/>
      <w:r w:rsidRPr="00C018DC">
        <w:rPr>
          <w:rFonts w:cs="Arial"/>
          <w:color w:val="EE0000"/>
        </w:rPr>
        <w:t>MxA</w:t>
      </w:r>
      <w:proofErr w:type="spellEnd"/>
      <w:r w:rsidRPr="00C018DC">
        <w:rPr>
          <w:rFonts w:cs="Arial"/>
          <w:color w:val="EE0000"/>
        </w:rPr>
        <w:t xml:space="preserve">, vývoj křivky, </w:t>
      </w:r>
      <w:proofErr w:type="spellStart"/>
      <w:r w:rsidRPr="00C018DC">
        <w:rPr>
          <w:rFonts w:cs="Arial"/>
          <w:color w:val="EE0000"/>
        </w:rPr>
        <w:t>MxA</w:t>
      </w:r>
      <w:proofErr w:type="spellEnd"/>
      <w:r w:rsidRPr="00C018DC">
        <w:rPr>
          <w:rFonts w:cs="Arial"/>
          <w:color w:val="EE0000"/>
        </w:rPr>
        <w:t xml:space="preserve"> nastupuje po 1,2 hodinách a jeho detekce je ještě dalších 10 dnů. Bazální hladiny u dospělých zdravých jedinců, většina studií uvádí koncentraci </w:t>
      </w:r>
      <w:r w:rsidRPr="00C018DC">
        <w:rPr>
          <w:rFonts w:cstheme="minorHAnsi"/>
          <w:color w:val="EE0000"/>
        </w:rPr>
        <w:t>˂</w:t>
      </w:r>
      <w:r w:rsidRPr="00C018DC">
        <w:rPr>
          <w:rFonts w:cs="Arial"/>
          <w:color w:val="EE0000"/>
        </w:rPr>
        <w:t xml:space="preserve"> 50 </w:t>
      </w:r>
      <w:r w:rsidRPr="00C018DC">
        <w:rPr>
          <w:rFonts w:cstheme="minorHAnsi"/>
          <w:color w:val="EE0000"/>
        </w:rPr>
        <w:t>µ</w:t>
      </w:r>
      <w:r w:rsidRPr="00C018DC">
        <w:rPr>
          <w:rFonts w:cs="Arial"/>
          <w:color w:val="EE0000"/>
        </w:rPr>
        <w:t>g/</w:t>
      </w:r>
      <w:proofErr w:type="gramStart"/>
      <w:r w:rsidRPr="00C018DC">
        <w:rPr>
          <w:rFonts w:cs="Arial"/>
          <w:color w:val="EE0000"/>
        </w:rPr>
        <w:t>L….</w:t>
      </w:r>
      <w:proofErr w:type="gramEnd"/>
      <w:r w:rsidRPr="00C018DC">
        <w:rPr>
          <w:rFonts w:cs="Arial"/>
          <w:color w:val="EE0000"/>
        </w:rPr>
        <w:t xml:space="preserve">.Rychlá elevace, už za 1,2 hodiny. Zvýšené hladiny mohou přetrvávat až 10 dnů po virové infekci. </w:t>
      </w:r>
      <w:proofErr w:type="spellStart"/>
      <w:r w:rsidRPr="00C018DC">
        <w:rPr>
          <w:rFonts w:cs="Arial"/>
          <w:color w:val="EE0000"/>
        </w:rPr>
        <w:t>Polčas</w:t>
      </w:r>
      <w:proofErr w:type="spellEnd"/>
      <w:r w:rsidRPr="00C018DC">
        <w:rPr>
          <w:rFonts w:cs="Arial"/>
          <w:color w:val="EE0000"/>
        </w:rPr>
        <w:t xml:space="preserve"> rozpadu je 2-3 dny.</w:t>
      </w:r>
      <w:r w:rsidR="00156D19" w:rsidRPr="00C018DC">
        <w:rPr>
          <w:rFonts w:cs="Arial"/>
          <w:color w:val="EE0000"/>
        </w:rPr>
        <w:t xml:space="preserve"> (</w:t>
      </w:r>
      <w:bookmarkStart w:id="2" w:name="_Hlk212643774"/>
      <w:r w:rsidR="00156D19" w:rsidRPr="00C018DC">
        <w:rPr>
          <w:rFonts w:cs="Arial"/>
          <w:color w:val="EE0000"/>
        </w:rPr>
        <w:t>teoretická křivka vymodelovaná AI na základě dostupných studií</w:t>
      </w:r>
      <w:bookmarkEnd w:id="2"/>
      <w:r w:rsidR="00156D19" w:rsidRPr="00C018DC">
        <w:rPr>
          <w:rFonts w:cs="Arial"/>
          <w:color w:val="EE0000"/>
        </w:rPr>
        <w:t>)</w:t>
      </w:r>
      <w:r w:rsidR="005C331E" w:rsidRPr="00C018DC">
        <w:rPr>
          <w:rFonts w:cs="Arial"/>
          <w:color w:val="EE0000"/>
        </w:rPr>
        <w:t xml:space="preserve">. U dětí jsou hodnoty </w:t>
      </w:r>
      <w:proofErr w:type="spellStart"/>
      <w:r w:rsidR="005C331E" w:rsidRPr="00C018DC">
        <w:rPr>
          <w:rFonts w:cs="Arial"/>
          <w:color w:val="EE0000"/>
        </w:rPr>
        <w:t>MxA</w:t>
      </w:r>
      <w:proofErr w:type="spellEnd"/>
      <w:r w:rsidR="005C331E" w:rsidRPr="00C018DC">
        <w:rPr>
          <w:rFonts w:cs="Arial"/>
          <w:color w:val="EE0000"/>
        </w:rPr>
        <w:t xml:space="preserve"> doposud ve stádiu studií, a ukazuje se, že může být závislá na věku dítěte. Bazální hladina je ve studiích prezentována kolem v rozmezí 52-110 </w:t>
      </w:r>
      <w:r w:rsidR="005C331E" w:rsidRPr="00C018DC">
        <w:rPr>
          <w:rFonts w:cstheme="minorHAnsi"/>
          <w:color w:val="EE0000"/>
        </w:rPr>
        <w:t>µ</w:t>
      </w:r>
      <w:r w:rsidR="005C331E" w:rsidRPr="00C018DC">
        <w:rPr>
          <w:rFonts w:cs="Arial"/>
          <w:color w:val="EE0000"/>
        </w:rPr>
        <w:t xml:space="preserve">l/L. </w:t>
      </w:r>
      <w:hyperlink r:id="rId5" w:history="1">
        <w:r w:rsidR="00392FD7" w:rsidRPr="00C018DC">
          <w:rPr>
            <w:rStyle w:val="Hypertextovodkaz"/>
            <w:rFonts w:cs="Arial"/>
          </w:rPr>
          <w:t>https://doi.org/10.1128/spectrum.02031-21</w:t>
        </w:r>
      </w:hyperlink>
      <w:r w:rsidR="00C018DC" w:rsidRPr="00C018DC">
        <w:t xml:space="preserve"> </w:t>
      </w:r>
    </w:p>
    <w:p w14:paraId="358AF17D" w14:textId="4E401F05" w:rsidR="00C018DC" w:rsidRPr="00C018DC" w:rsidRDefault="00C018DC" w:rsidP="008E11A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b/>
          <w:bCs/>
          <w:color w:val="EE0000"/>
        </w:rPr>
      </w:pPr>
      <w:r w:rsidRPr="00C018DC">
        <w:rPr>
          <w:b/>
          <w:bCs/>
          <w:color w:val="EE0000"/>
        </w:rPr>
        <w:t xml:space="preserve">Je potřebné myslet i na neambulantní pacienty a diferenciální diagnostiku v rámci POCT v nemocnicích obzvlášť na dětských a neonatologických klinikách, kde může být požadavek na re-test už po 6-24 hodinách právě na základě rychlé elevace </w:t>
      </w:r>
      <w:proofErr w:type="spellStart"/>
      <w:r w:rsidRPr="00C018DC">
        <w:rPr>
          <w:b/>
          <w:bCs/>
          <w:color w:val="EE0000"/>
        </w:rPr>
        <w:t>MxA</w:t>
      </w:r>
      <w:proofErr w:type="spellEnd"/>
      <w:r w:rsidRPr="00C018DC">
        <w:rPr>
          <w:b/>
          <w:bCs/>
          <w:color w:val="EE0000"/>
        </w:rPr>
        <w:t xml:space="preserve"> oproti pomalejšímu nástupu CRP.</w:t>
      </w:r>
    </w:p>
    <w:p w14:paraId="0F3F6104" w14:textId="7A82E32B" w:rsidR="00156D19" w:rsidRPr="00C018DC" w:rsidRDefault="00156D19" w:rsidP="00392FD7">
      <w:pPr>
        <w:pStyle w:val="Odstavecseseznamem"/>
        <w:spacing w:after="0" w:line="240" w:lineRule="auto"/>
        <w:contextualSpacing w:val="0"/>
        <w:jc w:val="both"/>
        <w:rPr>
          <w:rFonts w:cs="Arial"/>
          <w:color w:val="EE0000"/>
        </w:rPr>
      </w:pPr>
    </w:p>
    <w:p w14:paraId="45292258" w14:textId="62490532" w:rsidR="00156D19" w:rsidRDefault="00156D19" w:rsidP="00392FD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</w:pPr>
      <w:r>
        <w:rPr>
          <w:rFonts w:cs="Arial"/>
          <w:noProof/>
          <w:highlight w:val="yellow"/>
        </w:rPr>
        <w:drawing>
          <wp:inline distT="0" distB="0" distL="0" distR="0" wp14:anchorId="381E126F" wp14:editId="426275C0">
            <wp:extent cx="6004800" cy="3718800"/>
            <wp:effectExtent l="0" t="0" r="0" b="0"/>
            <wp:docPr id="27372001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800" cy="37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5FA6A" w14:textId="77777777" w:rsidR="00156D19" w:rsidRDefault="00156D19"/>
    <w:p w14:paraId="00B756ED" w14:textId="77777777" w:rsidR="00392FD7" w:rsidRDefault="00392FD7"/>
    <w:p w14:paraId="358119C3" w14:textId="77777777" w:rsidR="00392FD7" w:rsidRDefault="00392FD7"/>
    <w:tbl>
      <w:tblPr>
        <w:tblW w:w="1573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425"/>
        <w:gridCol w:w="12757"/>
      </w:tblGrid>
      <w:tr w:rsidR="000227F2" w:rsidRPr="00253E0C" w14:paraId="08421503" w14:textId="77777777" w:rsidTr="000227F2">
        <w:trPr>
          <w:trHeight w:val="77"/>
        </w:trPr>
        <w:tc>
          <w:tcPr>
            <w:tcW w:w="553" w:type="dxa"/>
            <w:vAlign w:val="center"/>
            <w:hideMark/>
          </w:tcPr>
          <w:p w14:paraId="1B3EDB13" w14:textId="77777777" w:rsidR="000227F2" w:rsidRPr="00253E0C" w:rsidRDefault="000227F2" w:rsidP="00223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3E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801</w:t>
            </w:r>
          </w:p>
        </w:tc>
        <w:tc>
          <w:tcPr>
            <w:tcW w:w="2425" w:type="dxa"/>
            <w:hideMark/>
          </w:tcPr>
          <w:p w14:paraId="55671E4D" w14:textId="77777777" w:rsidR="000227F2" w:rsidRPr="00253E0C" w:rsidRDefault="000227F2" w:rsidP="002231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3E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801-2025-07-09-09-12-59</w:t>
            </w:r>
            <w:r w:rsidRPr="00253E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253E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  <w:t>KVANTITATIVNÍ STANOVENÍ POMĚRU MXA/CRP(POCT)</w:t>
            </w:r>
            <w:r w:rsidRPr="00253E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253E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253E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green"/>
                <w:lang w:eastAsia="cs-CZ"/>
              </w:rPr>
              <w:t>nový výkon</w:t>
            </w:r>
          </w:p>
        </w:tc>
        <w:tc>
          <w:tcPr>
            <w:tcW w:w="12757" w:type="dxa"/>
            <w:hideMark/>
          </w:tcPr>
          <w:p w14:paraId="700244DD" w14:textId="38ED5406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  <w:bookmarkStart w:id="3" w:name="_Hlk212718081"/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 xml:space="preserve">Jak se řešilo </w:t>
            </w:r>
            <w:proofErr w:type="spellStart"/>
            <w:proofErr w:type="gramStart"/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doposud</w:t>
            </w:r>
            <w:r w:rsidRPr="00392FD7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?</w:t>
            </w:r>
            <w:bookmarkEnd w:id="3"/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pro</w:t>
            </w:r>
            <w:proofErr w:type="spellEnd"/>
            <w:proofErr w:type="gramEnd"/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zamýšlené použití dostupné pouze nespecifické CRP</w:t>
            </w:r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(02230)</w:t>
            </w: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 klinická symptomatologie</w:t>
            </w:r>
          </w:p>
          <w:p w14:paraId="2218CAC6" w14:textId="31494736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Je již hrazeno z </w:t>
            </w:r>
            <w:proofErr w:type="spellStart"/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v.z.p</w:t>
            </w:r>
            <w:proofErr w:type="spellEnd"/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. v EU</w:t>
            </w:r>
            <w:proofErr w:type="gramStart"/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?</w:t>
            </w:r>
            <w:r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cs="Arial"/>
              </w:rPr>
              <w:t>)</w:t>
            </w:r>
            <w:proofErr w:type="gramEnd"/>
            <w:r>
              <w:rPr>
                <w:rFonts w:cs="Arial"/>
              </w:rPr>
              <w:t xml:space="preserve">? </w:t>
            </w:r>
            <w:r>
              <w:rPr>
                <w:rFonts w:cs="Arial"/>
                <w:color w:val="EE0000"/>
              </w:rPr>
              <w:t>V EU ještě není, procesy jednání, schválená úhrada je zatím v</w:t>
            </w:r>
            <w:r w:rsidR="00B30687">
              <w:rPr>
                <w:rFonts w:cs="Arial"/>
                <w:color w:val="EE0000"/>
              </w:rPr>
              <w:t> </w:t>
            </w:r>
            <w:r>
              <w:rPr>
                <w:rFonts w:cs="Arial"/>
                <w:color w:val="EE0000"/>
              </w:rPr>
              <w:t>USA</w:t>
            </w:r>
            <w:r w:rsidR="00B30687">
              <w:rPr>
                <w:rFonts w:cs="Arial"/>
                <w:color w:val="EE0000"/>
              </w:rPr>
              <w:t xml:space="preserve"> (FDA)</w:t>
            </w:r>
            <w:r>
              <w:rPr>
                <w:rFonts w:cs="Arial"/>
                <w:color w:val="EE0000"/>
              </w:rPr>
              <w:t xml:space="preserve"> a Jižní </w:t>
            </w:r>
            <w:proofErr w:type="spellStart"/>
            <w:r>
              <w:rPr>
                <w:rFonts w:cs="Arial"/>
                <w:color w:val="EE0000"/>
              </w:rPr>
              <w:t>Korei</w:t>
            </w:r>
            <w:proofErr w:type="spellEnd"/>
            <w:r>
              <w:rPr>
                <w:rFonts w:cs="Arial"/>
                <w:color w:val="EE0000"/>
              </w:rPr>
              <w:t xml:space="preserve"> (schválení HIRA-klíčový orgán),</w:t>
            </w:r>
          </w:p>
          <w:p w14:paraId="2C27C467" w14:textId="39D8E949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  <w:bookmarkStart w:id="4" w:name="_Hlk212718107"/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Jsou indikační kritéria, doporučené postupy – kdy, v jakých situacích se má použít nově navrhovaný výkon a kdy stávající výkony s CRP? … Aby mohlo docházet k deklarované optimalizaci ATB terapie?</w:t>
            </w:r>
            <w:r w:rsidR="00392FD7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bookmarkEnd w:id="4"/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Navrhovaný výkon má stejné cíle jako výkon 02230 v době, kdy byl přijat. Snaha o rozlišení virové a bakteriální infekce a snížení preskripce ATB. Nyní nový navrhovaný výkon má přinést ještě lepší efektivitu v diferenciální diagnostice</w:t>
            </w:r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,</w:t>
            </w:r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 ještě více snížit preskripci ATB a navíc výkon 02230 v sobě zahrnuje. Indikace viz </w:t>
            </w:r>
            <w:proofErr w:type="spellStart"/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příloha.“Klinické</w:t>
            </w:r>
            <w:proofErr w:type="spellEnd"/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doporučení – použití kombinovaného testu </w:t>
            </w:r>
            <w:proofErr w:type="spellStart"/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MxA</w:t>
            </w:r>
            <w:proofErr w:type="spellEnd"/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/CRP</w:t>
            </w:r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“</w:t>
            </w:r>
            <w:r w:rsidR="0047479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.</w:t>
            </w:r>
          </w:p>
          <w:p w14:paraId="0CA67F49" w14:textId="5987EB0D" w:rsidR="000227F2" w:rsidRPr="00B30687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</w:pPr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Jak se zamezí duplicitám? Bude se výkon 02230 rušit?</w:t>
            </w:r>
            <w:r w:rsidR="006007BD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 xml:space="preserve"> </w:t>
            </w:r>
            <w:r w:rsidR="006007BD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Je vysoce pravděpodobné, že tento výkon </w:t>
            </w:r>
            <w:proofErr w:type="spellStart"/>
            <w:r w:rsidR="006007BD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MxA</w:t>
            </w:r>
            <w:proofErr w:type="spellEnd"/>
            <w:r w:rsidR="006007BD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/CRP bude</w:t>
            </w:r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v </w:t>
            </w:r>
            <w:proofErr w:type="spellStart"/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budnoucnu</w:t>
            </w:r>
            <w:proofErr w:type="spellEnd"/>
            <w:r w:rsidR="006007BD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v POCT použití převažovat nad výkonem 02230, jelikož nese informaci samotného CRP</w:t>
            </w:r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,</w:t>
            </w:r>
            <w:r w:rsidR="006007BD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 navíc informaci </w:t>
            </w:r>
            <w:proofErr w:type="spellStart"/>
            <w:r w:rsidR="006007BD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MxA</w:t>
            </w:r>
            <w:proofErr w:type="spellEnd"/>
            <w:r w:rsidR="006007BD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 jejich poměru a umožní tak klinikovi zlepšit diagnostiku akutního stavu. </w:t>
            </w:r>
            <w:r w:rsidR="00B30687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C</w:t>
            </w:r>
            <w:r w:rsidR="0019780B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ílem je zjistit příčinu akutního stavu pacientů v</w:t>
            </w:r>
            <w:r w:rsidR="00B30687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 </w:t>
            </w:r>
            <w:r w:rsidR="0019780B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nemocniční</w:t>
            </w:r>
            <w:r w:rsidR="00B30687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m a </w:t>
            </w:r>
            <w:r w:rsidR="0019780B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ambulan</w:t>
            </w:r>
            <w:r w:rsidR="00B30687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tním prostředí</w:t>
            </w:r>
            <w:r w:rsidR="0019780B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(dětské a dospělé pohotovosti, urgenty, </w:t>
            </w:r>
            <w:r w:rsidR="004E7215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dětské JIP, </w:t>
            </w:r>
            <w:r w:rsidR="0019780B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dětské ambulance, ambulance ORL, infekční ambulance a příjm</w:t>
            </w:r>
            <w:r w:rsid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y, jako</w:t>
            </w:r>
            <w:r w:rsidR="0019780B"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i v první linii praktických lékařů.</w:t>
            </w:r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)</w:t>
            </w:r>
          </w:p>
          <w:p w14:paraId="083C2972" w14:textId="25088C4E" w:rsidR="00B30687" w:rsidRPr="00B30687" w:rsidRDefault="00B30687" w:rsidP="00B30687">
            <w:pPr>
              <w:pStyle w:val="Odstavecseseznamem"/>
              <w:shd w:val="clear" w:color="auto" w:fill="FFFFFF"/>
              <w:spacing w:after="0" w:line="240" w:lineRule="auto"/>
              <w:ind w:left="214"/>
              <w:contextualSpacing w:val="0"/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</w:pPr>
            <w:r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Duplicitám lze zamezit omezením stanovení</w:t>
            </w: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,</w:t>
            </w:r>
            <w:r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 to buď </w:t>
            </w:r>
            <w:proofErr w:type="spellStart"/>
            <w:r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MxA</w:t>
            </w:r>
            <w:proofErr w:type="spellEnd"/>
            <w:r w:rsidRPr="00B3068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/CRP nebo test 02230</w:t>
            </w:r>
            <w:r w:rsidR="004E7215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/91153 v nemocničním prostředí</w:t>
            </w:r>
          </w:p>
          <w:p w14:paraId="6A6DBB28" w14:textId="77777777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Nutno doplnit nepovolené kombinace s </w:t>
            </w:r>
          </w:p>
          <w:p w14:paraId="0EB1CABF" w14:textId="77777777" w:rsidR="000227F2" w:rsidRPr="00253E0C" w:rsidRDefault="000227F2" w:rsidP="0022319C">
            <w:pPr>
              <w:pStyle w:val="Odstavecseseznamem"/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hAnsi="Arial" w:cs="Arial"/>
                <w:sz w:val="18"/>
                <w:szCs w:val="18"/>
                <w:shd w:val="clear" w:color="auto" w:fill="E9ECF1"/>
              </w:rPr>
            </w:pPr>
            <w:r w:rsidRPr="00253E0C">
              <w:rPr>
                <w:rFonts w:ascii="Arial" w:hAnsi="Arial" w:cs="Arial"/>
                <w:sz w:val="18"/>
                <w:szCs w:val="18"/>
              </w:rPr>
              <w:t xml:space="preserve">02230 </w:t>
            </w:r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KVANTITATIVNÍ STANOVENÍ CRP (POCT) (115 bodů)</w:t>
            </w:r>
          </w:p>
          <w:p w14:paraId="55BBB35D" w14:textId="241D7677" w:rsidR="000227F2" w:rsidRPr="00253E0C" w:rsidRDefault="000227F2" w:rsidP="0022319C">
            <w:pPr>
              <w:pStyle w:val="Odstavecseseznamem"/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91331 STANOVENÍ CRP LATEXOVOU AGLUTINACÍ (RAPID TEST) (77 bodů)</w:t>
            </w:r>
            <w:r w:rsidR="00B306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</w:t>
            </w:r>
            <w:proofErr w:type="spellStart"/>
            <w:r w:rsidR="00B306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obsolentní</w:t>
            </w:r>
            <w:proofErr w:type="spellEnd"/>
            <w:r w:rsidR="00B306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zvážit zrušení</w:t>
            </w:r>
          </w:p>
          <w:p w14:paraId="1CDCD68C" w14:textId="77777777" w:rsidR="000227F2" w:rsidRPr="00253E0C" w:rsidRDefault="000227F2" w:rsidP="0022319C">
            <w:pPr>
              <w:pStyle w:val="Odstavecseseznamem"/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253E0C">
              <w:rPr>
                <w:rFonts w:ascii="Arial" w:hAnsi="Arial" w:cs="Arial"/>
                <w:sz w:val="18"/>
                <w:szCs w:val="18"/>
              </w:rPr>
              <w:t xml:space="preserve">91153 </w:t>
            </w:r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STANOVENÍ </w:t>
            </w:r>
            <w:proofErr w:type="gramStart"/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 - REAKTIVNÍHO</w:t>
            </w:r>
            <w:proofErr w:type="gramEnd"/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PROTEINU (160 bb.)</w:t>
            </w:r>
          </w:p>
          <w:p w14:paraId="5F1F7194" w14:textId="12CFAE4D" w:rsidR="000227F2" w:rsidRPr="00253E0C" w:rsidRDefault="000227F2" w:rsidP="0022319C">
            <w:pPr>
              <w:pStyle w:val="Odstavecseseznamem"/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253E0C">
              <w:rPr>
                <w:rFonts w:ascii="Arial" w:hAnsi="Arial" w:cs="Arial"/>
                <w:sz w:val="18"/>
                <w:szCs w:val="18"/>
              </w:rPr>
              <w:t xml:space="preserve">91195 </w:t>
            </w:r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STANOVENÍ </w:t>
            </w:r>
            <w:proofErr w:type="gramStart"/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 - REAKTIVNÍHO</w:t>
            </w:r>
            <w:proofErr w:type="gramEnd"/>
            <w:r w:rsidRPr="00253E0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PROTEINU ELISA (289 bb.)</w:t>
            </w:r>
            <w:r w:rsidR="00B306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</w:t>
            </w:r>
            <w:proofErr w:type="spellStart"/>
            <w:r w:rsidR="00B306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obsolentní</w:t>
            </w:r>
            <w:proofErr w:type="spellEnd"/>
            <w:r w:rsidR="00B30687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zvážit zrušení</w:t>
            </w:r>
          </w:p>
          <w:p w14:paraId="545527DC" w14:textId="524DB275" w:rsidR="000227F2" w:rsidRPr="001422C0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 xml:space="preserve">Jaký je erudovaný odhad počtu vyšetření? </w:t>
            </w:r>
            <w:r w:rsidR="0027132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Ministerstvo zdravotnictví a zdravotní pojišťovny shromažďují počty vyšetření, které ovšem nejsou veřejně dostupné. Při plné saturaci trhu </w:t>
            </w:r>
            <w:proofErr w:type="spellStart"/>
            <w:r w:rsidR="0027132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MxA</w:t>
            </w:r>
            <w:proofErr w:type="spellEnd"/>
            <w:r w:rsidR="0027132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/CRP by v konečném důsledku mohl nový výkon nahradit až </w:t>
            </w:r>
            <w:proofErr w:type="gramStart"/>
            <w:r w:rsidR="0027132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80%</w:t>
            </w:r>
            <w:proofErr w:type="gramEnd"/>
            <w:r w:rsidR="0027132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výkonů 02230. </w:t>
            </w:r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Jaký je ekonomický dopad?</w:t>
            </w:r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Ten sestává </w:t>
            </w:r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z</w:t>
            </w:r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 mnoha faktorů a při nedostupnosti dat o počtu vyšetření výkonu 02230 a preskripci ATB v ambulancích </w:t>
            </w:r>
            <w:r w:rsidR="004E7215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praktických lékařů a ambulancích nemocnic, </w:t>
            </w:r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je velice obtížné provést ekonomický odhad. Odkazujeme ovšem na studii provedenou na území EU (Finsko), kde je tato problematika probrána z mnohých úhlu pohledů, kde už samotný výkon 02230 přinesl významný ekonomický dopad. </w:t>
            </w:r>
            <w:r w:rsidR="0011120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Odhadovaná</w:t>
            </w:r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možnost zlepšení v ekonomické oblasti </w:t>
            </w:r>
            <w:r w:rsidR="0011120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je </w:t>
            </w:r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ještě </w:t>
            </w:r>
            <w:r w:rsidR="00B318C7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cca </w:t>
            </w:r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o </w:t>
            </w:r>
            <w:proofErr w:type="gramStart"/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20%</w:t>
            </w:r>
            <w:proofErr w:type="gramEnd"/>
            <w:r w:rsidR="004F49DA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oproti stávajícímu stavu.</w:t>
            </w:r>
          </w:p>
          <w:p w14:paraId="05619305" w14:textId="147A0208" w:rsidR="001422C0" w:rsidRDefault="001422C0" w:rsidP="001422C0">
            <w:pPr>
              <w:pStyle w:val="Odstavecseseznamem"/>
              <w:shd w:val="clear" w:color="auto" w:fill="FFFFFF"/>
              <w:spacing w:after="0" w:line="240" w:lineRule="auto"/>
              <w:ind w:left="214"/>
              <w:contextualSpacing w:val="0"/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Podporující studie: </w:t>
            </w:r>
          </w:p>
          <w:p w14:paraId="3BDF12B6" w14:textId="3401DB6E" w:rsidR="00A562DB" w:rsidRPr="00A562DB" w:rsidRDefault="001422C0" w:rsidP="00A562DB">
            <w:pPr>
              <w:pStyle w:val="Odstavecseseznamem"/>
              <w:ind w:left="214"/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1)</w:t>
            </w:r>
            <w:r w:rsid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Antimicrobial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resistance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: risk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associated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with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antibiotic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overuse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and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initiatives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to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reduce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the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problem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. </w:t>
            </w:r>
            <w:hyperlink r:id="rId7" w:history="1">
              <w:r w:rsidR="00A562DB" w:rsidRPr="00A562DB">
                <w:rPr>
                  <w:rStyle w:val="Hypertextovodkaz"/>
                  <w:rFonts w:ascii="Arial" w:eastAsia="SimSun" w:hAnsi="Arial" w:cs="Arial"/>
                  <w:color w:val="EE0000"/>
                  <w:sz w:val="18"/>
                  <w:szCs w:val="18"/>
                  <w:lang w:eastAsia="hi-IN" w:bidi="hi-IN"/>
                </w:rPr>
                <w:t xml:space="preserve">Carl </w:t>
              </w:r>
              <w:proofErr w:type="spellStart"/>
              <w:r w:rsidR="00A562DB" w:rsidRPr="00A562DB">
                <w:rPr>
                  <w:rStyle w:val="Hypertextovodkaz"/>
                  <w:rFonts w:ascii="Arial" w:eastAsia="SimSun" w:hAnsi="Arial" w:cs="Arial"/>
                  <w:color w:val="EE0000"/>
                  <w:sz w:val="18"/>
                  <w:szCs w:val="18"/>
                  <w:lang w:eastAsia="hi-IN" w:bidi="hi-IN"/>
                </w:rPr>
                <w:t>Llor</w:t>
              </w:r>
              <w:proofErr w:type="spellEnd"/>
            </w:hyperlink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 </w:t>
            </w:r>
            <w:proofErr w:type="gram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vertAlign w:val="superscript"/>
                <w:lang w:eastAsia="hi-IN" w:bidi="hi-IN"/>
              </w:rPr>
              <w:t>1,</w:t>
            </w:r>
            <w:r w:rsidR="00A562DB" w:rsidRPr="00A562DB">
              <w:rPr>
                <w:rFonts w:ascii="Segoe UI Symbol" w:eastAsia="SimSun" w:hAnsi="Segoe UI Symbol" w:cs="Segoe UI Symbol"/>
                <w:color w:val="EE0000"/>
                <w:sz w:val="18"/>
                <w:szCs w:val="18"/>
                <w:vertAlign w:val="superscript"/>
                <w:lang w:eastAsia="hi-IN" w:bidi="hi-IN"/>
              </w:rPr>
              <w:t>✉</w:t>
            </w:r>
            <w:proofErr w:type="gram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, </w:t>
            </w:r>
            <w:hyperlink r:id="rId8" w:history="1">
              <w:r w:rsidR="00A562DB" w:rsidRPr="00A562DB">
                <w:rPr>
                  <w:rStyle w:val="Hypertextovodkaz"/>
                  <w:rFonts w:ascii="Arial" w:eastAsia="SimSun" w:hAnsi="Arial" w:cs="Arial"/>
                  <w:color w:val="EE0000"/>
                  <w:sz w:val="18"/>
                  <w:szCs w:val="18"/>
                  <w:lang w:eastAsia="hi-IN" w:bidi="hi-IN"/>
                </w:rPr>
                <w:t xml:space="preserve">Lars </w:t>
              </w:r>
              <w:proofErr w:type="spellStart"/>
              <w:r w:rsidR="00A562DB" w:rsidRPr="00A562DB">
                <w:rPr>
                  <w:rStyle w:val="Hypertextovodkaz"/>
                  <w:rFonts w:ascii="Arial" w:eastAsia="SimSun" w:hAnsi="Arial" w:cs="Arial"/>
                  <w:color w:val="EE0000"/>
                  <w:sz w:val="18"/>
                  <w:szCs w:val="18"/>
                  <w:lang w:eastAsia="hi-IN" w:bidi="hi-IN"/>
                </w:rPr>
                <w:t>Bjerrum</w:t>
              </w:r>
              <w:proofErr w:type="spellEnd"/>
            </w:hyperlink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 </w:t>
            </w:r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vertAlign w:val="superscript"/>
                <w:lang w:eastAsia="hi-IN" w:bidi="hi-IN"/>
              </w:rPr>
              <w:t>2</w:t>
            </w:r>
            <w:r w:rsid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Ther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Adv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Drug</w:t>
            </w:r>
            <w:proofErr w:type="spellEnd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Saf</w:t>
            </w:r>
            <w:proofErr w:type="spellEnd"/>
            <w:r w:rsid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.</w:t>
            </w:r>
            <w:r w:rsidR="00A562DB" w:rsidRPr="00A562DB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2014 Dec;5(6):229–241</w:t>
            </w:r>
            <w:hyperlink r:id="rId9" w:history="1">
              <w:r w:rsidR="00A562DB" w:rsidRPr="00C50AA6">
                <w:rPr>
                  <w:rStyle w:val="Hypertextovodkaz"/>
                  <w:rFonts w:ascii="Arial" w:eastAsia="SimSun" w:hAnsi="Arial" w:cs="Arial"/>
                  <w:sz w:val="18"/>
                  <w:szCs w:val="18"/>
                  <w:lang w:eastAsia="hi-IN" w:bidi="hi-IN"/>
                </w:rPr>
                <w:t>https://pmc.ncbi.nlm.nih.gov/articles/PMC4232501/</w:t>
              </w:r>
            </w:hyperlink>
          </w:p>
          <w:p w14:paraId="65D90051" w14:textId="68C70EDA" w:rsidR="001422C0" w:rsidRPr="00B318C7" w:rsidRDefault="001422C0" w:rsidP="00B318C7">
            <w:pPr>
              <w:pStyle w:val="Odstavecseseznamem"/>
              <w:shd w:val="clear" w:color="auto" w:fill="FFFFFF"/>
              <w:ind w:left="214"/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2)</w:t>
            </w:r>
            <w:r w:rsidRPr="001422C0">
              <w:rPr>
                <w:rFonts w:ascii="MyriadPro-Regular" w:hAnsi="MyriadPro-Regular" w:cs="MyriadPro-Regular"/>
                <w:sz w:val="48"/>
                <w:szCs w:val="48"/>
                <w14:ligatures w14:val="standardContextual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Recent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updates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of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interferon</w:t>
            </w:r>
            <w:r w:rsidRPr="001422C0">
              <w:rPr>
                <w:rFonts w:ascii="Cambria Math" w:eastAsia="SimSun" w:hAnsi="Cambria Math" w:cs="Cambria Math"/>
                <w:color w:val="EE0000"/>
                <w:sz w:val="18"/>
                <w:szCs w:val="18"/>
                <w:lang w:eastAsia="hi-IN" w:bidi="hi-IN"/>
              </w:rPr>
              <w:t>‑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derived</w:t>
            </w:r>
            <w:proofErr w:type="spellEnd"/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myxovirus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resistance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protein A as a biomarker</w:t>
            </w: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for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acute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viral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infection</w:t>
            </w:r>
            <w:proofErr w:type="spellEnd"/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.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Desalegn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Abebaw1*,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Yibeltal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Akelew1,2,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Adane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Adugna1,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Zigale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Hibstu</w:t>
            </w:r>
            <w:proofErr w:type="spellEnd"/>
            <w:r w:rsidRPr="001422C0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 Teffera1</w:t>
            </w:r>
            <w:r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. </w:t>
            </w:r>
            <w:proofErr w:type="spellStart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>European</w:t>
            </w:r>
            <w:proofErr w:type="spellEnd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>Journal</w:t>
            </w:r>
            <w:proofErr w:type="spellEnd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>of</w:t>
            </w:r>
            <w:proofErr w:type="spellEnd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>Medical</w:t>
            </w:r>
            <w:proofErr w:type="spellEnd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proofErr w:type="spellStart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>Research</w:t>
            </w:r>
            <w:proofErr w:type="spellEnd"/>
            <w:r w:rsidRPr="001422C0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 xml:space="preserve"> (2024) 29:612</w:t>
            </w:r>
            <w:r w:rsidR="00A562DB">
              <w:rPr>
                <w:rFonts w:ascii="Arial" w:eastAsia="SimSun" w:hAnsi="Arial" w:cs="Arial"/>
                <w:i/>
                <w:iCs/>
                <w:color w:val="EE0000"/>
                <w:sz w:val="18"/>
                <w:szCs w:val="18"/>
                <w:lang w:eastAsia="hi-IN" w:bidi="hi-IN"/>
              </w:rPr>
              <w:t xml:space="preserve"> </w:t>
            </w:r>
            <w:hyperlink r:id="rId10" w:history="1">
              <w:r w:rsidR="00A562DB" w:rsidRPr="00A562DB">
                <w:rPr>
                  <w:rStyle w:val="Hypertextovodkaz"/>
                  <w:rFonts w:ascii="Arial" w:eastAsia="SimSun" w:hAnsi="Arial" w:cs="Arial"/>
                  <w:sz w:val="18"/>
                  <w:szCs w:val="18"/>
                  <w:lang w:eastAsia="hi-IN" w:bidi="hi-IN"/>
                </w:rPr>
                <w:t>https://pubmed.ncbi.nlm.nih.gov/39710743/</w:t>
              </w:r>
            </w:hyperlink>
          </w:p>
          <w:p w14:paraId="61E70EBE" w14:textId="108C6422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  <w:bookmarkStart w:id="5" w:name="_Hlk212718131"/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>Je nastaveno OF 1/1 den, lze z medicínského hlediska nastavit i na delší časový úsek?</w:t>
            </w:r>
            <w:r w:rsidR="00711B24"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 xml:space="preserve"> </w:t>
            </w:r>
            <w:bookmarkEnd w:id="5"/>
            <w:r w:rsidR="004E7215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 xml:space="preserve">Osobní sdělení prim. </w:t>
            </w:r>
            <w:proofErr w:type="spellStart"/>
            <w:r w:rsidR="004E7215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Dissou</w:t>
            </w:r>
            <w:proofErr w:type="spellEnd"/>
          </w:p>
          <w:p w14:paraId="782D7778" w14:textId="0B45336A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14" w:hanging="142"/>
              <w:contextualSpacing w:val="0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  <w:r w:rsidRPr="00253E0C"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  <w:t xml:space="preserve">Čas výkonu 12 min a nositele 5 min je adekvátní? </w:t>
            </w:r>
            <w:r w:rsidR="00111202">
              <w:rPr>
                <w:rFonts w:ascii="Arial" w:eastAsia="SimSun" w:hAnsi="Arial" w:cs="Arial"/>
                <w:color w:val="EE0000"/>
                <w:sz w:val="18"/>
                <w:szCs w:val="18"/>
                <w:lang w:eastAsia="hi-IN" w:bidi="hi-IN"/>
              </w:rPr>
              <w:t>ANO</w:t>
            </w:r>
          </w:p>
          <w:p w14:paraId="034D3EBE" w14:textId="3A113D1E" w:rsidR="000227F2" w:rsidRPr="005B7F16" w:rsidRDefault="000227F2" w:rsidP="000227F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214" w:hanging="142"/>
              <w:contextualSpacing w:val="0"/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</w:pPr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Nutno doložit ceny </w:t>
            </w:r>
            <w:proofErr w:type="spellStart"/>
            <w:proofErr w:type="gramStart"/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PMAt</w:t>
            </w:r>
            <w:proofErr w:type="spellEnd"/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 -</w:t>
            </w:r>
            <w:proofErr w:type="gramEnd"/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příslušného </w:t>
            </w:r>
            <w:proofErr w:type="spellStart"/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kitu</w:t>
            </w:r>
            <w:proofErr w:type="spellEnd"/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ke stanovení (např. faktura) a </w:t>
            </w:r>
            <w:r w:rsidRPr="00253E0C">
              <w:rPr>
                <w:rFonts w:ascii="Arial" w:eastAsia="Times New Roman" w:hAnsi="Arial" w:cs="Arial"/>
                <w:sz w:val="18"/>
                <w:szCs w:val="18"/>
                <w:u w:val="single"/>
                <w:lang w:eastAsia="cs-CZ"/>
              </w:rPr>
              <w:t>kalkulaci na jeden vzorek</w:t>
            </w:r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 Toto nebylo součástí podkladů z </w:t>
            </w:r>
            <w:proofErr w:type="spellStart"/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MZ.</w:t>
            </w:r>
            <w:r w:rsidR="005B7F16" w:rsidRPr="005B7F16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>Pro</w:t>
            </w:r>
            <w:proofErr w:type="spellEnd"/>
            <w:r w:rsidR="005B7F16" w:rsidRPr="005B7F16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 xml:space="preserve"> zařazení do číselníku byla doložena cenová nabídka, ze které byl výpočet na jeden vzorek. Cenovou nabídku dokládám.</w:t>
            </w:r>
          </w:p>
          <w:p w14:paraId="456CB426" w14:textId="5916E669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214" w:hanging="142"/>
              <w:contextualSpacing w:val="0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253E0C">
              <w:rPr>
                <w:rFonts w:ascii="Arial" w:hAnsi="Arial" w:cs="Arial"/>
                <w:sz w:val="18"/>
                <w:szCs w:val="18"/>
              </w:rPr>
              <w:t>Imunoanalyzátor</w:t>
            </w:r>
            <w:proofErr w:type="spellEnd"/>
            <w:r w:rsidRPr="00253E0C">
              <w:rPr>
                <w:rFonts w:ascii="Arial" w:hAnsi="Arial" w:cs="Arial"/>
                <w:sz w:val="18"/>
                <w:szCs w:val="18"/>
              </w:rPr>
              <w:t xml:space="preserve"> -víceúčelový</w:t>
            </w:r>
            <w:proofErr w:type="gramEnd"/>
            <w:r w:rsidRPr="00253E0C">
              <w:rPr>
                <w:rFonts w:ascii="Arial" w:hAnsi="Arial" w:cs="Arial"/>
                <w:sz w:val="18"/>
                <w:szCs w:val="18"/>
              </w:rPr>
              <w:t xml:space="preserve"> pro POCT AFIAS-1</w:t>
            </w:r>
            <w:r w:rsidR="0019780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9780B">
              <w:rPr>
                <w:rFonts w:ascii="Arial" w:hAnsi="Arial" w:cs="Arial"/>
                <w:color w:val="EE0000"/>
                <w:sz w:val="18"/>
                <w:szCs w:val="18"/>
              </w:rPr>
              <w:t>AFIAS-3, AFIAS-6</w:t>
            </w:r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C70FF1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za 55 tis. Kč</w:t>
            </w:r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– jedná se o novou položku v přístrojovém číselníku, nutno doložit cenu např. fakturou. Toto nebylo součástí podkladů z</w:t>
            </w:r>
            <w:r w:rsidR="00FF51E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  <w:proofErr w:type="spellStart"/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MZ</w:t>
            </w:r>
            <w:r w:rsidR="00FF51E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.</w:t>
            </w:r>
            <w:r w:rsidR="00FF51E5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>Dle</w:t>
            </w:r>
            <w:proofErr w:type="spellEnd"/>
            <w:r w:rsidR="00FF51E5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 xml:space="preserve"> velikosti pracoviště, mohou pracoviště pro optimalizaci provozu používat kromě jednokanálového AFIAS-1, také vícekanálové přístroje AFIAS (a to se 3 kanály = AFIAS-3 nebo 6 kanály AFIAS-6), nelze tedy kód navázat pouze na jeden konkrétní model AFIAS-1 (doporučujeme neuvádět u názvu přístroje číslici, pouze název </w:t>
            </w:r>
            <w:r w:rsidR="004E7215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 xml:space="preserve">platformy </w:t>
            </w:r>
            <w:r w:rsidR="00FF51E5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>AFIAS</w:t>
            </w:r>
            <w:r w:rsidR="00BB58B2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>)</w:t>
            </w:r>
          </w:p>
          <w:p w14:paraId="7647E753" w14:textId="5E9227BA" w:rsidR="000227F2" w:rsidRPr="00253E0C" w:rsidRDefault="000227F2" w:rsidP="000227F2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214" w:hanging="142"/>
              <w:contextualSpacing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53E0C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OM: BOM – výkon je tedy podmíněn jen přístrojovým vybavením, není třeba žádná specializace pracoviště?</w:t>
            </w:r>
            <w:r w:rsidR="0019780B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="0019780B">
              <w:rPr>
                <w:rFonts w:ascii="Arial" w:eastAsia="Times New Roman" w:hAnsi="Arial" w:cs="Arial"/>
                <w:color w:val="EE0000"/>
                <w:sz w:val="18"/>
                <w:szCs w:val="18"/>
                <w:lang w:eastAsia="cs-CZ"/>
              </w:rPr>
              <w:t>ano, stačí přístrojové vybavení, není potřeba specializace pracoviště</w:t>
            </w:r>
          </w:p>
          <w:p w14:paraId="3F8263F9" w14:textId="77777777" w:rsidR="000227F2" w:rsidRPr="00253E0C" w:rsidRDefault="000227F2" w:rsidP="002231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F2CD9AE" w14:textId="77777777" w:rsidR="00BB58B2" w:rsidRDefault="00BB58B2"/>
    <w:p w14:paraId="50BCE487" w14:textId="77777777" w:rsidR="00BB58B2" w:rsidRPr="00BB58B2" w:rsidRDefault="00BB58B2" w:rsidP="00BB58B2">
      <w:r w:rsidRPr="00BB58B2">
        <w:rPr>
          <w:b/>
          <w:bCs/>
        </w:rPr>
        <w:t>KVANTITATIVNÍ STANOVENÍ POMĚRU MXA/CRP(POCT)</w:t>
      </w:r>
    </w:p>
    <w:p w14:paraId="7997FADD" w14:textId="77777777" w:rsidR="00BB58B2" w:rsidRPr="00BB58B2" w:rsidRDefault="00BB58B2" w:rsidP="00BB58B2">
      <w:r w:rsidRPr="00BB58B2">
        <w:t>Číslo výkonu:</w:t>
      </w:r>
      <w:r w:rsidRPr="00BB58B2">
        <w:br/>
      </w:r>
      <w:r w:rsidRPr="00BB58B2">
        <w:rPr>
          <w:b/>
          <w:bCs/>
        </w:rPr>
        <w:t>801-2025-07-09-09-12-59</w:t>
      </w:r>
    </w:p>
    <w:p w14:paraId="567FD8BC" w14:textId="77777777" w:rsidR="00BB58B2" w:rsidRPr="00BB58B2" w:rsidRDefault="00BB58B2" w:rsidP="00BB58B2">
      <w:r w:rsidRPr="00BB58B2">
        <w:t>Autorská odbornost: </w:t>
      </w:r>
      <w:r w:rsidRPr="00BB58B2">
        <w:rPr>
          <w:b/>
          <w:bCs/>
        </w:rPr>
        <w:t>(801) klinická biochemie</w:t>
      </w:r>
      <w:r w:rsidRPr="00BB58B2">
        <w:br/>
      </w:r>
    </w:p>
    <w:p w14:paraId="01AA863B" w14:textId="77777777" w:rsidR="00BB58B2" w:rsidRDefault="00BB58B2" w:rsidP="00BB58B2">
      <w:r w:rsidRPr="00BB58B2">
        <w:rPr>
          <w:b/>
          <w:bCs/>
        </w:rPr>
        <w:t>Popis:</w:t>
      </w:r>
      <w:r w:rsidRPr="00BB58B2">
        <w:br/>
      </w:r>
      <w:r w:rsidRPr="00BB58B2">
        <w:rPr>
          <w:i/>
          <w:iCs/>
        </w:rPr>
        <w:t>(Pokud má výkon jednoznačnou indikaci, uveďte je.)</w:t>
      </w:r>
      <w:r w:rsidRPr="00BB58B2">
        <w:br/>
        <w:t xml:space="preserve">Kvantitativní stanovení </w:t>
      </w:r>
      <w:proofErr w:type="spellStart"/>
      <w:r w:rsidRPr="00BB58B2">
        <w:t>MxA</w:t>
      </w:r>
      <w:proofErr w:type="spellEnd"/>
      <w:r w:rsidRPr="00BB58B2">
        <w:t xml:space="preserve">, CRP a jejich poměr z krve pro dosažení vyšší diagnostické přesnosti v situaci diferenciální diagnostiky bakteriálního a virového infektu, než v případě samotného stanovení </w:t>
      </w:r>
      <w:proofErr w:type="spellStart"/>
      <w:r w:rsidRPr="00BB58B2">
        <w:t>MxA</w:t>
      </w:r>
      <w:proofErr w:type="spellEnd"/>
      <w:r w:rsidRPr="00BB58B2">
        <w:t xml:space="preserve"> nebo CRP. Rozhodnutí o nasazení antibiotické terapie. Případná kontrola vyšetření do 48 hodin po zahájení antibiotické terapie.</w:t>
      </w:r>
    </w:p>
    <w:p w14:paraId="3060F934" w14:textId="4EE0002F" w:rsidR="00111202" w:rsidRPr="00BB58B2" w:rsidRDefault="00111202" w:rsidP="00BB58B2">
      <w:pPr>
        <w:rPr>
          <w:color w:val="EE0000"/>
        </w:rPr>
      </w:pPr>
      <w:r>
        <w:rPr>
          <w:color w:val="EE0000"/>
        </w:rPr>
        <w:t>Indikace</w:t>
      </w:r>
      <w:r w:rsidR="004E7215">
        <w:rPr>
          <w:color w:val="EE0000"/>
        </w:rPr>
        <w:t xml:space="preserve">: </w:t>
      </w:r>
      <w:r w:rsidR="004E7215" w:rsidRPr="004E7215">
        <w:rPr>
          <w:color w:val="EE0000"/>
        </w:rPr>
        <w:t xml:space="preserve">Test </w:t>
      </w:r>
      <w:proofErr w:type="spellStart"/>
      <w:r w:rsidR="004E7215" w:rsidRPr="004E7215">
        <w:rPr>
          <w:color w:val="EE0000"/>
        </w:rPr>
        <w:t>MxA</w:t>
      </w:r>
      <w:proofErr w:type="spellEnd"/>
      <w:r w:rsidR="004E7215" w:rsidRPr="004E7215">
        <w:rPr>
          <w:color w:val="EE0000"/>
        </w:rPr>
        <w:t>/CRP se doporučuje použít u pacientů s akutní infekcí nebo horečkou nejasné etiologie, zejména u respiračních infekcí, tonsilitid, otitid, pneumonií a při diferenciaci virových a bakteriálních infekcí.</w:t>
      </w:r>
      <w:r w:rsidR="00A9591D">
        <w:rPr>
          <w:color w:val="EE0000"/>
        </w:rPr>
        <w:t xml:space="preserve"> Re-test za 6-24 hod (rychlá elevace </w:t>
      </w:r>
      <w:proofErr w:type="spellStart"/>
      <w:r w:rsidR="00A9591D">
        <w:rPr>
          <w:color w:val="EE0000"/>
        </w:rPr>
        <w:t>MxA</w:t>
      </w:r>
      <w:proofErr w:type="spellEnd"/>
      <w:r w:rsidR="00A9591D">
        <w:rPr>
          <w:color w:val="EE0000"/>
        </w:rPr>
        <w:t xml:space="preserve">).  </w:t>
      </w:r>
      <w:r w:rsidR="004E7215" w:rsidRPr="004E7215">
        <w:rPr>
          <w:color w:val="EE0000"/>
        </w:rPr>
        <w:br/>
      </w:r>
    </w:p>
    <w:p w14:paraId="05EC486C" w14:textId="77777777" w:rsidR="00BB58B2" w:rsidRPr="00BB58B2" w:rsidRDefault="00BB58B2" w:rsidP="00BB58B2">
      <w:r w:rsidRPr="00BB58B2">
        <w:rPr>
          <w:b/>
          <w:bCs/>
        </w:rPr>
        <w:t>Poznámka:</w:t>
      </w:r>
    </w:p>
    <w:p w14:paraId="54A3198C" w14:textId="77777777" w:rsidR="00BB58B2" w:rsidRPr="00BB58B2" w:rsidRDefault="00BB58B2" w:rsidP="00BB58B2">
      <w:r w:rsidRPr="00BB58B2">
        <w:rPr>
          <w:b/>
          <w:bCs/>
        </w:rPr>
        <w:t>Čím výkon začíná:</w:t>
      </w:r>
      <w:r w:rsidRPr="00BB58B2">
        <w:br/>
        <w:t>Zápisem požadavku do zdravotní dokumentace nebo informačního systému, přípravou kazety na stanovení, analyzovaného vzorku a kontroly.</w:t>
      </w:r>
    </w:p>
    <w:p w14:paraId="1017F72E" w14:textId="0F479DBB" w:rsidR="00BB58B2" w:rsidRPr="00BB58B2" w:rsidRDefault="00BB58B2" w:rsidP="00BB58B2">
      <w:r w:rsidRPr="00BB58B2">
        <w:rPr>
          <w:b/>
          <w:bCs/>
        </w:rPr>
        <w:t>Obsah a rozsah výkonu:</w:t>
      </w:r>
      <w:r w:rsidRPr="00BB58B2">
        <w:br/>
        <w:t xml:space="preserve">Zapnutí přístroje, kalibrace vložení kalibračního čipu, vložení reagenční kazety do přístroje, vložení vzorku v odběrové špičce do kazety, inkubace, měření intenzity fluorescence, odečtení výsledku z displeje přístroje, případný tisk pro archivaci. Podléhá systému </w:t>
      </w:r>
      <w:r w:rsidRPr="00BB58B2">
        <w:rPr>
          <w:strike/>
          <w:color w:val="EE0000"/>
        </w:rPr>
        <w:t>externí a</w:t>
      </w:r>
      <w:r w:rsidRPr="00BB58B2">
        <w:rPr>
          <w:color w:val="EE0000"/>
        </w:rPr>
        <w:t xml:space="preserve"> </w:t>
      </w:r>
      <w:r w:rsidRPr="00BB58B2">
        <w:t>interní kontroly</w:t>
      </w:r>
      <w:r w:rsidR="00111202">
        <w:t xml:space="preserve"> a </w:t>
      </w:r>
      <w:r w:rsidR="00111202">
        <w:rPr>
          <w:rFonts w:cs="Arial"/>
          <w:color w:val="EE0000"/>
        </w:rPr>
        <w:t>externí kontroly kvality, pokud je na trhu dostupná</w:t>
      </w:r>
      <w:r w:rsidRPr="00BB58B2">
        <w:t>. Nezahrnuty inkubace delší než 15 min.</w:t>
      </w:r>
    </w:p>
    <w:p w14:paraId="0272566A" w14:textId="77777777" w:rsidR="00BB58B2" w:rsidRPr="00BB58B2" w:rsidRDefault="00BB58B2" w:rsidP="00BB58B2">
      <w:r w:rsidRPr="00BB58B2">
        <w:rPr>
          <w:b/>
          <w:bCs/>
        </w:rPr>
        <w:t>Čím výkon končí:</w:t>
      </w:r>
      <w:r w:rsidRPr="00BB58B2">
        <w:br/>
        <w:t>Vyhodnocením a zápisem do dokumentace. Nahlášením výsledku, archivací.</w:t>
      </w:r>
    </w:p>
    <w:p w14:paraId="7769C48C" w14:textId="77777777" w:rsidR="00BB58B2" w:rsidRPr="00BB58B2" w:rsidRDefault="00BB58B2" w:rsidP="00BB58B2">
      <w:r w:rsidRPr="00BB58B2">
        <w:rPr>
          <w:b/>
          <w:bCs/>
        </w:rPr>
        <w:lastRenderedPageBreak/>
        <w:t>Kategorie:</w:t>
      </w:r>
      <w:r w:rsidRPr="00BB58B2">
        <w:t> </w:t>
      </w:r>
      <w:proofErr w:type="gramStart"/>
      <w:r w:rsidRPr="00BB58B2">
        <w:t>P - hrazen</w:t>
      </w:r>
      <w:proofErr w:type="gramEnd"/>
      <w:r w:rsidRPr="00BB58B2">
        <w:t xml:space="preserve"> plně;</w:t>
      </w:r>
    </w:p>
    <w:p w14:paraId="2FA616DD" w14:textId="77777777" w:rsidR="00BB58B2" w:rsidRPr="00BB58B2" w:rsidRDefault="00BB58B2" w:rsidP="00BB58B2">
      <w:r w:rsidRPr="00BB58B2">
        <w:rPr>
          <w:b/>
          <w:bCs/>
        </w:rPr>
        <w:t>Omezení místa:</w:t>
      </w:r>
      <w:r w:rsidRPr="00BB58B2">
        <w:t> </w:t>
      </w:r>
      <w:proofErr w:type="gramStart"/>
      <w:r w:rsidRPr="00BB58B2">
        <w:t>kusovník - bez</w:t>
      </w:r>
      <w:proofErr w:type="gramEnd"/>
      <w:r w:rsidRPr="00BB58B2">
        <w:t xml:space="preserve"> omezení</w:t>
      </w:r>
    </w:p>
    <w:p w14:paraId="11C7EB56" w14:textId="77777777" w:rsidR="00BB58B2" w:rsidRPr="00BB58B2" w:rsidRDefault="00BB58B2" w:rsidP="00BB58B2">
      <w:r w:rsidRPr="00BB58B2">
        <w:rPr>
          <w:b/>
          <w:bCs/>
        </w:rPr>
        <w:t>Omezení frekvence:</w:t>
      </w:r>
      <w:r w:rsidRPr="00BB58B2">
        <w:t> 1/1 den</w:t>
      </w:r>
    </w:p>
    <w:p w14:paraId="3D9C0DEC" w14:textId="77777777" w:rsidR="00BB58B2" w:rsidRPr="00BB58B2" w:rsidRDefault="00BB58B2" w:rsidP="00BB58B2">
      <w:r w:rsidRPr="00BB58B2">
        <w:rPr>
          <w:b/>
          <w:bCs/>
        </w:rPr>
        <w:t>Obvyklá doba trvání celého výkonu v minutách:</w:t>
      </w:r>
      <w:r w:rsidRPr="00BB58B2">
        <w:t> 12</w:t>
      </w:r>
    </w:p>
    <w:p w14:paraId="5A44BBF2" w14:textId="73A30ECC" w:rsidR="00E43F23" w:rsidRPr="00BB58B2" w:rsidRDefault="00BB58B2" w:rsidP="00BB58B2">
      <w:pPr>
        <w:rPr>
          <w:color w:val="EE0000"/>
        </w:rPr>
      </w:pPr>
      <w:r w:rsidRPr="00BB58B2">
        <w:rPr>
          <w:b/>
          <w:bCs/>
        </w:rPr>
        <w:t>Podmínky:</w:t>
      </w:r>
      <w:r w:rsidRPr="00BB58B2">
        <w:br/>
      </w:r>
      <w:r w:rsidRPr="00BB58B2">
        <w:rPr>
          <w:i/>
          <w:iCs/>
        </w:rPr>
        <w:t>(Pokud je omezení místa "S",</w:t>
      </w:r>
      <w:r w:rsidRPr="00BB58B2">
        <w:rPr>
          <w:i/>
          <w:iCs/>
        </w:rPr>
        <w:br/>
        <w:t>popište, čím je pracoviště specializované.)</w:t>
      </w:r>
      <w:r w:rsidR="00E43F23">
        <w:rPr>
          <w:color w:val="EE0000"/>
        </w:rPr>
        <w:t xml:space="preserve"> není žádné omezení místa ani specializace</w:t>
      </w:r>
    </w:p>
    <w:p w14:paraId="68D0ED06" w14:textId="77777777" w:rsidR="00BB58B2" w:rsidRDefault="00BB58B2" w:rsidP="00BB58B2">
      <w:r w:rsidRPr="00BB58B2">
        <w:rPr>
          <w:b/>
          <w:bCs/>
        </w:rPr>
        <w:t>Důvod změnového řízení:</w:t>
      </w:r>
      <w:r w:rsidRPr="00BB58B2">
        <w:br/>
      </w:r>
      <w:r w:rsidRPr="00BB58B2">
        <w:rPr>
          <w:i/>
          <w:iCs/>
        </w:rPr>
        <w:t>(V případě, že výkon nahrazuje staré metody,</w:t>
      </w:r>
      <w:r w:rsidRPr="00BB58B2">
        <w:rPr>
          <w:i/>
          <w:iCs/>
        </w:rPr>
        <w:br/>
        <w:t>doplňte čísla původních výkonů.)</w:t>
      </w:r>
      <w:r w:rsidRPr="00BB58B2">
        <w:br/>
        <w:t xml:space="preserve">Zpřesnění diferenciální diagnostiky bakteriálního a virového infektu a </w:t>
      </w:r>
      <w:proofErr w:type="spellStart"/>
      <w:r w:rsidRPr="00BB58B2">
        <w:t>koinfekce</w:t>
      </w:r>
      <w:proofErr w:type="spellEnd"/>
      <w:r w:rsidRPr="00BB58B2">
        <w:t xml:space="preserve">, efektivnější cílení antibiotické terapie v souladu s cílem WHO a SZÚ podporovat racionální používání antibiotik a předcházet šíření ATB rezistence. Zvýšená hladina </w:t>
      </w:r>
      <w:proofErr w:type="spellStart"/>
      <w:r w:rsidRPr="00BB58B2">
        <w:t>Myxovirus</w:t>
      </w:r>
      <w:proofErr w:type="spellEnd"/>
      <w:r w:rsidRPr="00BB58B2">
        <w:t xml:space="preserve"> rezistentního proteinu A (</w:t>
      </w:r>
      <w:proofErr w:type="spellStart"/>
      <w:r w:rsidRPr="00BB58B2">
        <w:t>MxA</w:t>
      </w:r>
      <w:proofErr w:type="spellEnd"/>
      <w:r w:rsidRPr="00BB58B2">
        <w:t xml:space="preserve">) je indikátorem endogenní produkce interferonu zprostředkované virovou aktivací jak v jádře, tak v cytoplazmě, naproti tomu CRP je jedním z proteinů akutní fáze indukovaných cytokinů a jeho hladina v krvi se zvyšuje během reakce na infekci ale také na neinfekční zánětlivé procesy. Jako optimální pro diferenciaci bakteriálního a virového infektu, klinická praxe ukazuje poměr těchto dvou parametrů. Samotné </w:t>
      </w:r>
      <w:proofErr w:type="spellStart"/>
      <w:r w:rsidRPr="00BB58B2">
        <w:t>MxA</w:t>
      </w:r>
      <w:proofErr w:type="spellEnd"/>
      <w:r w:rsidRPr="00BB58B2">
        <w:t xml:space="preserve"> nebo CRP stanovení nemá dostatečnou senzitivitu a specificitu. To podtrhuje význam kombinace těchto parametrů pro dosažení vyšší diagnostické přesnosti.</w:t>
      </w:r>
    </w:p>
    <w:p w14:paraId="7C36AAC0" w14:textId="3779061C" w:rsidR="00E43F23" w:rsidRPr="00E43F23" w:rsidRDefault="00E43F23" w:rsidP="00E43F23">
      <w:pPr>
        <w:pStyle w:val="Odstavecseseznamem"/>
        <w:shd w:val="clear" w:color="auto" w:fill="FFFFFF"/>
        <w:spacing w:after="0" w:line="240" w:lineRule="auto"/>
        <w:ind w:left="214" w:hanging="142"/>
        <w:contextualSpacing w:val="0"/>
        <w:rPr>
          <w:rFonts w:ascii="Arial" w:hAnsi="Arial" w:cs="Arial"/>
          <w:color w:val="EE0000"/>
          <w:sz w:val="18"/>
          <w:szCs w:val="18"/>
          <w:shd w:val="clear" w:color="auto" w:fill="E9ECF1"/>
        </w:rPr>
      </w:pPr>
      <w:r w:rsidRPr="00E43F23">
        <w:rPr>
          <w:rFonts w:ascii="Arial" w:hAnsi="Arial" w:cs="Arial"/>
          <w:color w:val="EE0000"/>
          <w:sz w:val="18"/>
          <w:szCs w:val="18"/>
        </w:rPr>
        <w:t xml:space="preserve">02230 </w:t>
      </w:r>
      <w:r w:rsidRPr="00E43F23">
        <w:rPr>
          <w:rFonts w:ascii="Arial" w:hAnsi="Arial" w:cs="Arial"/>
          <w:color w:val="EE0000"/>
          <w:sz w:val="18"/>
          <w:szCs w:val="18"/>
          <w:shd w:val="clear" w:color="auto" w:fill="FFFFFF"/>
        </w:rPr>
        <w:t>KVANTITATIVNÍ STANOVENÍ CRP (POCT) (115 bodů)</w:t>
      </w:r>
      <w:r w:rsid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 xml:space="preserve"> vymezení použití – buď kód 02230 nebo nový kód pro </w:t>
      </w:r>
      <w:proofErr w:type="spellStart"/>
      <w:r w:rsid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>MxA</w:t>
      </w:r>
      <w:proofErr w:type="spellEnd"/>
      <w:r w:rsid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>/CRP, nelze současně</w:t>
      </w:r>
    </w:p>
    <w:p w14:paraId="24A1E3AA" w14:textId="77777777" w:rsidR="00760395" w:rsidRDefault="00760395" w:rsidP="00E43F23">
      <w:pPr>
        <w:pStyle w:val="Odstavecseseznamem"/>
        <w:shd w:val="clear" w:color="auto" w:fill="FFFFFF"/>
        <w:spacing w:after="0" w:line="240" w:lineRule="auto"/>
        <w:ind w:left="214" w:hanging="142"/>
        <w:contextualSpacing w:val="0"/>
        <w:rPr>
          <w:rFonts w:ascii="Arial" w:hAnsi="Arial" w:cs="Arial"/>
          <w:color w:val="EE0000"/>
          <w:sz w:val="18"/>
          <w:szCs w:val="18"/>
          <w:shd w:val="clear" w:color="auto" w:fill="FFFFFF"/>
        </w:rPr>
      </w:pPr>
    </w:p>
    <w:p w14:paraId="58417D29" w14:textId="0DF2548A" w:rsidR="00E43F23" w:rsidRDefault="00E43F23" w:rsidP="00E43F23">
      <w:pPr>
        <w:pStyle w:val="Odstavecseseznamem"/>
        <w:shd w:val="clear" w:color="auto" w:fill="FFFFFF"/>
        <w:spacing w:after="0" w:line="240" w:lineRule="auto"/>
        <w:ind w:left="214" w:hanging="142"/>
        <w:contextualSpacing w:val="0"/>
        <w:rPr>
          <w:rFonts w:ascii="Arial" w:hAnsi="Arial" w:cs="Arial"/>
          <w:color w:val="EE0000"/>
          <w:sz w:val="18"/>
          <w:szCs w:val="18"/>
          <w:shd w:val="clear" w:color="auto" w:fill="FFFFFF"/>
        </w:rPr>
      </w:pPr>
      <w:r w:rsidRPr="00E43F23">
        <w:rPr>
          <w:rFonts w:ascii="Arial" w:hAnsi="Arial" w:cs="Arial"/>
          <w:color w:val="EE0000"/>
          <w:sz w:val="18"/>
          <w:szCs w:val="18"/>
          <w:shd w:val="clear" w:color="auto" w:fill="FFFFFF"/>
        </w:rPr>
        <w:t>91331 STANOVENÍ CRP LATEXOVOU AGLUTINACÍ (RAPID TEST) (77 bodů)</w:t>
      </w:r>
      <w:r w:rsid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 xml:space="preserve"> – </w:t>
      </w:r>
      <w:proofErr w:type="spellStart"/>
      <w:r w:rsid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>obsolentní</w:t>
      </w:r>
      <w:proofErr w:type="spellEnd"/>
      <w:r w:rsid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>, zvážit zrušení</w:t>
      </w:r>
    </w:p>
    <w:p w14:paraId="1DB21B47" w14:textId="77777777" w:rsidR="00111202" w:rsidRPr="00111202" w:rsidRDefault="00111202" w:rsidP="00111202">
      <w:pPr>
        <w:pStyle w:val="Odstavecseseznamem"/>
        <w:shd w:val="clear" w:color="auto" w:fill="FFFFFF"/>
        <w:spacing w:after="0" w:line="240" w:lineRule="auto"/>
        <w:ind w:left="214" w:hanging="142"/>
        <w:contextualSpacing w:val="0"/>
        <w:rPr>
          <w:rFonts w:ascii="Arial" w:hAnsi="Arial" w:cs="Arial"/>
          <w:color w:val="EE0000"/>
          <w:sz w:val="18"/>
          <w:szCs w:val="18"/>
          <w:shd w:val="clear" w:color="auto" w:fill="FFFFFF"/>
        </w:rPr>
      </w:pPr>
      <w:r w:rsidRPr="00111202">
        <w:rPr>
          <w:rFonts w:ascii="Arial" w:hAnsi="Arial" w:cs="Arial"/>
          <w:color w:val="EE0000"/>
          <w:sz w:val="18"/>
          <w:szCs w:val="18"/>
        </w:rPr>
        <w:t xml:space="preserve">91195 </w:t>
      </w:r>
      <w:r w:rsidRP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 xml:space="preserve">STANOVENÍ </w:t>
      </w:r>
      <w:proofErr w:type="gramStart"/>
      <w:r w:rsidRP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>C - REAKTIVNÍHO</w:t>
      </w:r>
      <w:proofErr w:type="gramEnd"/>
      <w:r w:rsidRP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 xml:space="preserve"> PROTEINU ELISA (289 bb.) – </w:t>
      </w:r>
      <w:proofErr w:type="spellStart"/>
      <w:r w:rsidRP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>obsolentní</w:t>
      </w:r>
      <w:proofErr w:type="spellEnd"/>
      <w:r w:rsidRPr="00111202">
        <w:rPr>
          <w:rFonts w:ascii="Arial" w:hAnsi="Arial" w:cs="Arial"/>
          <w:color w:val="EE0000"/>
          <w:sz w:val="18"/>
          <w:szCs w:val="18"/>
          <w:shd w:val="clear" w:color="auto" w:fill="FFFFFF"/>
        </w:rPr>
        <w:t>, zvážit zrušení</w:t>
      </w:r>
    </w:p>
    <w:p w14:paraId="0BC1C72E" w14:textId="77777777" w:rsidR="00E43F23" w:rsidRDefault="00E43F23" w:rsidP="00BB58B2"/>
    <w:p w14:paraId="3221F9B0" w14:textId="77777777" w:rsidR="00BB58B2" w:rsidRPr="00BB58B2" w:rsidRDefault="00BB58B2" w:rsidP="00760395">
      <w:pPr>
        <w:jc w:val="both"/>
      </w:pPr>
      <w:r w:rsidRPr="00BB58B2">
        <w:rPr>
          <w:b/>
          <w:bCs/>
        </w:rPr>
        <w:t>Posouzení medicínské efektivity:</w:t>
      </w:r>
      <w:r w:rsidRPr="00BB58B2">
        <w:t xml:space="preserve"> Průša R., et. Al. Protein </w:t>
      </w:r>
      <w:proofErr w:type="spellStart"/>
      <w:r w:rsidRPr="00BB58B2">
        <w:t>MxA</w:t>
      </w:r>
      <w:proofErr w:type="spellEnd"/>
      <w:r w:rsidRPr="00BB58B2">
        <w:t xml:space="preserve"> a jeho význam pro včasnou diagnostiku virových infekcí včetně SARS-CoV-2 Klin. </w:t>
      </w:r>
      <w:proofErr w:type="spellStart"/>
      <w:r w:rsidRPr="00BB58B2">
        <w:t>Biochem</w:t>
      </w:r>
      <w:proofErr w:type="spellEnd"/>
      <w:r w:rsidRPr="00BB58B2">
        <w:t xml:space="preserve">. </w:t>
      </w:r>
      <w:proofErr w:type="spellStart"/>
      <w:r w:rsidRPr="00BB58B2">
        <w:t>Metab</w:t>
      </w:r>
      <w:proofErr w:type="spellEnd"/>
      <w:r w:rsidRPr="00BB58B2">
        <w:t xml:space="preserve">., 30 (51), 2022, č. 3, str. 73 – 78 https://casopiskbm.cz/artkey/kbm-202203-0003_protein-mxa-a-jeho-vyznam-pro-vcasnou-diagnostiku-virovych-infekci-vcetne-sars-cov-2.php M. Trojánek a kol. Diagnostická užitečnost poměru </w:t>
      </w:r>
      <w:proofErr w:type="spellStart"/>
      <w:r w:rsidRPr="00BB58B2">
        <w:t>MxA</w:t>
      </w:r>
      <w:proofErr w:type="spellEnd"/>
      <w:r w:rsidRPr="00BB58B2">
        <w:t xml:space="preserve"> a </w:t>
      </w:r>
      <w:proofErr w:type="spellStart"/>
      <w:r w:rsidRPr="00BB58B2">
        <w:t>MxA</w:t>
      </w:r>
      <w:proofErr w:type="spellEnd"/>
      <w:r w:rsidRPr="00BB58B2">
        <w:t xml:space="preserve">/CRP při diferenciaci virových a bakteriálních infekcí: prospektivní </w:t>
      </w:r>
      <w:proofErr w:type="spellStart"/>
      <w:r w:rsidRPr="00BB58B2">
        <w:t>kohortová</w:t>
      </w:r>
      <w:proofErr w:type="spellEnd"/>
      <w:r w:rsidRPr="00BB58B2">
        <w:t xml:space="preserve"> studie Vyžádaná přednáška; Abstraktní kniha 2025 35. kongres Evropské společnosti pro klinickou mikrobiologii a infekční nemoci, Vídeň, str. 2159 https://www.escmid.org/congress-events/escmid-global/abstracts/information-for-presenters/abstract-book/ Konstantina </w:t>
      </w:r>
      <w:proofErr w:type="spellStart"/>
      <w:r w:rsidRPr="00BB58B2">
        <w:t>Iliopoulou</w:t>
      </w:r>
      <w:proofErr w:type="spellEnd"/>
      <w:r w:rsidRPr="00BB58B2">
        <w:t xml:space="preserve"> a kol. Vývoj nástroje </w:t>
      </w:r>
      <w:r w:rsidRPr="00BB58B2">
        <w:lastRenderedPageBreak/>
        <w:t xml:space="preserve">pro rozlišení mezi bakteriálními a virovými respiračními infekcemi s využitím proteinu A rezistence na </w:t>
      </w:r>
      <w:proofErr w:type="spellStart"/>
      <w:r w:rsidRPr="00BB58B2">
        <w:t>myxoviry</w:t>
      </w:r>
      <w:proofErr w:type="spellEnd"/>
      <w:r w:rsidRPr="00BB58B2">
        <w:t xml:space="preserve"> a C-reaktivního proteinu </w:t>
      </w:r>
      <w:proofErr w:type="spellStart"/>
      <w:r w:rsidRPr="00BB58B2">
        <w:t>Infect</w:t>
      </w:r>
      <w:proofErr w:type="spellEnd"/>
      <w:r w:rsidRPr="00BB58B2">
        <w:t xml:space="preserve"> Dis </w:t>
      </w:r>
      <w:proofErr w:type="spellStart"/>
      <w:r w:rsidRPr="00BB58B2">
        <w:t>Ther</w:t>
      </w:r>
      <w:proofErr w:type="spellEnd"/>
      <w:r w:rsidRPr="00BB58B2">
        <w:t xml:space="preserve"> (2024) 13:105–119 https://doi.org/10.1007/s40121-023-00901-2 S. Kim a kol. Analýza proteinu A rezistence na </w:t>
      </w:r>
      <w:proofErr w:type="spellStart"/>
      <w:r w:rsidRPr="00BB58B2">
        <w:t>myxoviry</w:t>
      </w:r>
      <w:proofErr w:type="spellEnd"/>
      <w:r w:rsidRPr="00BB58B2">
        <w:t xml:space="preserve"> pro diagnostiku respiračních virových infekcí Abstraktní kniha 2025 35. kongres Evropské společnosti pro klinickou mikrobiologii a infekční nemoci, Vídeň, str. 203</w:t>
      </w:r>
    </w:p>
    <w:p w14:paraId="4BF5E4B4" w14:textId="760DF6FC" w:rsidR="00760395" w:rsidRDefault="00BB58B2" w:rsidP="00BB58B2">
      <w:pPr>
        <w:rPr>
          <w:rFonts w:ascii="Arial" w:eastAsia="SimSun" w:hAnsi="Arial" w:cs="Arial"/>
          <w:color w:val="EE0000"/>
          <w:sz w:val="18"/>
          <w:szCs w:val="18"/>
          <w:lang w:eastAsia="hi-IN" w:bidi="hi-IN"/>
        </w:rPr>
      </w:pPr>
      <w:r w:rsidRPr="00BB58B2">
        <w:rPr>
          <w:b/>
          <w:bCs/>
        </w:rPr>
        <w:t>Ekonomický dopad:</w:t>
      </w:r>
      <w:r w:rsidRPr="00BB58B2">
        <w:br/>
      </w:r>
      <w:r w:rsidRPr="00BB58B2">
        <w:rPr>
          <w:i/>
          <w:iCs/>
        </w:rPr>
        <w:t>(Doplňte odhadovaný počet pacientů za rok)</w:t>
      </w:r>
      <w:r w:rsidRPr="00BB58B2">
        <w:br/>
        <w:t xml:space="preserve">Částečně nahradí stanovení samotného CRP = kód 02230, či stanovení CRP v laboratoři, zavedení tohoto vyšetření povede k optimalizaci ATB </w:t>
      </w:r>
      <w:proofErr w:type="gramStart"/>
      <w:r w:rsidRPr="00BB58B2">
        <w:t>terapie</w:t>
      </w:r>
      <w:proofErr w:type="gramEnd"/>
      <w:r w:rsidRPr="00BB58B2">
        <w:t xml:space="preserve"> a tak i ke snížení zbývajících nákladů na léčbu pacientů.</w:t>
      </w:r>
      <w:r w:rsidR="00760395">
        <w:t xml:space="preserve"> </w:t>
      </w:r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Ministerstvo zdravotnictví a zdravotní pojišťovny shromažďují počty vyšetření, které ovšem nejsou veřejně dostupné a není m</w:t>
      </w:r>
      <w:r w:rsidR="004E721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o</w:t>
      </w:r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žné doplnit odhadovaný počet pacientů za rok. Při plné saturaci trhu </w:t>
      </w:r>
      <w:proofErr w:type="spellStart"/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MxA</w:t>
      </w:r>
      <w:proofErr w:type="spellEnd"/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/CRP by v konečném důsledku mohl nový výkon v budoucnu nahradit až </w:t>
      </w:r>
      <w:proofErr w:type="gramStart"/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80%</w:t>
      </w:r>
      <w:proofErr w:type="gramEnd"/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výkonů 02230</w:t>
      </w:r>
      <w:r w:rsidR="004E721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a snížit preskripci ATP ještě o dalších cca </w:t>
      </w:r>
      <w:proofErr w:type="gramStart"/>
      <w:r w:rsidR="004E721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20%</w:t>
      </w:r>
      <w:proofErr w:type="gramEnd"/>
      <w:r w:rsidR="004E721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.</w:t>
      </w:r>
    </w:p>
    <w:p w14:paraId="0347FB22" w14:textId="5A7EC26E" w:rsidR="00BB58B2" w:rsidRDefault="00BB58B2" w:rsidP="00760395">
      <w:pPr>
        <w:jc w:val="both"/>
      </w:pPr>
      <w:r w:rsidRPr="00BB58B2">
        <w:rPr>
          <w:b/>
          <w:bCs/>
        </w:rPr>
        <w:t>Porovnání s prokázaným léčebným přínosem:</w:t>
      </w:r>
      <w:r w:rsidRPr="00BB58B2">
        <w:t xml:space="preserve"> Kombinovaný POCT test </w:t>
      </w:r>
      <w:proofErr w:type="spellStart"/>
      <w:r w:rsidRPr="00BB58B2">
        <w:t>MxA</w:t>
      </w:r>
      <w:proofErr w:type="spellEnd"/>
      <w:r w:rsidRPr="00BB58B2">
        <w:t>/CRP, kvantitativní hodnoty obou biomarkerů a jejich poměr, přináší inovativní pohled na rychlou a efektivní diferenciální diagnostiku infekcí oproti létům samostatně používanému nespecifickému markeru zánětu CRP. Jeho zavedení přináší významné klinické a ekonomické přínosy, zejména v oblasti antibiotické strategie, která je neustále v popředí zájmu klinik, ale i samotných pacientů.</w:t>
      </w:r>
    </w:p>
    <w:p w14:paraId="6538AAA9" w14:textId="76A3C1D7" w:rsidR="00760395" w:rsidRPr="001422C0" w:rsidRDefault="00C70FF1" w:rsidP="00760395">
      <w:pPr>
        <w:pStyle w:val="Odstavecseseznamem"/>
        <w:shd w:val="clear" w:color="auto" w:fill="FFFFFF"/>
        <w:spacing w:after="0" w:line="240" w:lineRule="auto"/>
        <w:ind w:left="214"/>
        <w:contextualSpacing w:val="0"/>
        <w:jc w:val="both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Ekonomický dopad: </w:t>
      </w:r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Ten sestává </w:t>
      </w: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z</w:t>
      </w:r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 mnoha faktorů a při nedostupnosti dat o počtu vyšetření výkonu 02230 a preskripci ATB v</w:t>
      </w: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 nemocnicích a</w:t>
      </w:r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 ambulancích je velice obtížné provést ekonomický odhad. Odkazujeme ovšem na studii provedenou na území EU (Finsko), kde je tato problematika probrána z mnohých úhlu pohledů, kde už samotný výkon 02230 přinesl významný ekonomický dopad. Odhadovaná možnost zlepšení v ekonomické oblasti je ještě o </w:t>
      </w:r>
      <w:proofErr w:type="gramStart"/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20%</w:t>
      </w:r>
      <w:proofErr w:type="gramEnd"/>
      <w:r w:rsidR="00760395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oproti stávajícímu stavu.</w:t>
      </w:r>
    </w:p>
    <w:p w14:paraId="49F80171" w14:textId="77777777" w:rsidR="00760395" w:rsidRDefault="00760395" w:rsidP="00760395">
      <w:pPr>
        <w:pStyle w:val="Odstavecseseznamem"/>
        <w:shd w:val="clear" w:color="auto" w:fill="FFFFFF"/>
        <w:spacing w:after="0" w:line="240" w:lineRule="auto"/>
        <w:ind w:left="214"/>
        <w:contextualSpacing w:val="0"/>
        <w:jc w:val="both"/>
        <w:rPr>
          <w:rFonts w:ascii="Arial" w:eastAsia="SimSun" w:hAnsi="Arial" w:cs="Arial"/>
          <w:color w:val="EE0000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Podporující studie: </w:t>
      </w:r>
    </w:p>
    <w:p w14:paraId="4A5C230B" w14:textId="77777777" w:rsidR="00760395" w:rsidRPr="00A562DB" w:rsidRDefault="00760395" w:rsidP="00760395">
      <w:pPr>
        <w:pStyle w:val="Odstavecseseznamem"/>
        <w:ind w:left="214"/>
        <w:jc w:val="both"/>
        <w:rPr>
          <w:rFonts w:ascii="Arial" w:eastAsia="SimSun" w:hAnsi="Arial" w:cs="Arial"/>
          <w:color w:val="EE0000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1) 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Antimicrobial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resistance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: risk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associated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with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antibiotic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overuse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and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initiatives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to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reduce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the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problem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. </w:t>
      </w:r>
      <w:hyperlink r:id="rId11" w:history="1">
        <w:r w:rsidRPr="00A562DB">
          <w:rPr>
            <w:rStyle w:val="Hypertextovodkaz"/>
            <w:rFonts w:ascii="Arial" w:eastAsia="SimSun" w:hAnsi="Arial" w:cs="Arial"/>
            <w:color w:val="EE0000"/>
            <w:sz w:val="18"/>
            <w:szCs w:val="18"/>
            <w:lang w:eastAsia="hi-IN" w:bidi="hi-IN"/>
          </w:rPr>
          <w:t xml:space="preserve">Carl </w:t>
        </w:r>
        <w:proofErr w:type="spellStart"/>
        <w:r w:rsidRPr="00A562DB">
          <w:rPr>
            <w:rStyle w:val="Hypertextovodkaz"/>
            <w:rFonts w:ascii="Arial" w:eastAsia="SimSun" w:hAnsi="Arial" w:cs="Arial"/>
            <w:color w:val="EE0000"/>
            <w:sz w:val="18"/>
            <w:szCs w:val="18"/>
            <w:lang w:eastAsia="hi-IN" w:bidi="hi-IN"/>
          </w:rPr>
          <w:t>Llor</w:t>
        </w:r>
        <w:proofErr w:type="spellEnd"/>
      </w:hyperlink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 </w:t>
      </w:r>
      <w:proofErr w:type="gramStart"/>
      <w:r w:rsidRPr="00A562DB">
        <w:rPr>
          <w:rFonts w:ascii="Arial" w:eastAsia="SimSun" w:hAnsi="Arial" w:cs="Arial"/>
          <w:color w:val="EE0000"/>
          <w:sz w:val="18"/>
          <w:szCs w:val="18"/>
          <w:vertAlign w:val="superscript"/>
          <w:lang w:eastAsia="hi-IN" w:bidi="hi-IN"/>
        </w:rPr>
        <w:t>1,</w:t>
      </w:r>
      <w:r w:rsidRPr="00A562DB">
        <w:rPr>
          <w:rFonts w:ascii="Segoe UI Symbol" w:eastAsia="SimSun" w:hAnsi="Segoe UI Symbol" w:cs="Segoe UI Symbol"/>
          <w:color w:val="EE0000"/>
          <w:sz w:val="18"/>
          <w:szCs w:val="18"/>
          <w:vertAlign w:val="superscript"/>
          <w:lang w:eastAsia="hi-IN" w:bidi="hi-IN"/>
        </w:rPr>
        <w:t>✉</w:t>
      </w:r>
      <w:proofErr w:type="gram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, </w:t>
      </w:r>
      <w:hyperlink r:id="rId12" w:history="1">
        <w:r w:rsidRPr="00A562DB">
          <w:rPr>
            <w:rStyle w:val="Hypertextovodkaz"/>
            <w:rFonts w:ascii="Arial" w:eastAsia="SimSun" w:hAnsi="Arial" w:cs="Arial"/>
            <w:color w:val="EE0000"/>
            <w:sz w:val="18"/>
            <w:szCs w:val="18"/>
            <w:lang w:eastAsia="hi-IN" w:bidi="hi-IN"/>
          </w:rPr>
          <w:t xml:space="preserve">Lars </w:t>
        </w:r>
        <w:proofErr w:type="spellStart"/>
        <w:r w:rsidRPr="00A562DB">
          <w:rPr>
            <w:rStyle w:val="Hypertextovodkaz"/>
            <w:rFonts w:ascii="Arial" w:eastAsia="SimSun" w:hAnsi="Arial" w:cs="Arial"/>
            <w:color w:val="EE0000"/>
            <w:sz w:val="18"/>
            <w:szCs w:val="18"/>
            <w:lang w:eastAsia="hi-IN" w:bidi="hi-IN"/>
          </w:rPr>
          <w:t>Bjerrum</w:t>
        </w:r>
        <w:proofErr w:type="spellEnd"/>
      </w:hyperlink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 </w:t>
      </w:r>
      <w:r w:rsidRPr="00A562DB">
        <w:rPr>
          <w:rFonts w:ascii="Arial" w:eastAsia="SimSun" w:hAnsi="Arial" w:cs="Arial"/>
          <w:color w:val="EE0000"/>
          <w:sz w:val="18"/>
          <w:szCs w:val="18"/>
          <w:vertAlign w:val="superscript"/>
          <w:lang w:eastAsia="hi-IN" w:bidi="hi-IN"/>
        </w:rPr>
        <w:t>2</w:t>
      </w: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Ther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Adv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Drug</w:t>
      </w:r>
      <w:proofErr w:type="spellEnd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Saf</w:t>
      </w:r>
      <w:proofErr w:type="spellEnd"/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.</w:t>
      </w:r>
      <w:r w:rsidRPr="00A562DB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2014 Dec;5(6):229–241</w:t>
      </w:r>
      <w:hyperlink r:id="rId13" w:history="1">
        <w:r w:rsidRPr="00C50AA6">
          <w:rPr>
            <w:rStyle w:val="Hypertextovodkaz"/>
            <w:rFonts w:ascii="Arial" w:eastAsia="SimSun" w:hAnsi="Arial" w:cs="Arial"/>
            <w:sz w:val="18"/>
            <w:szCs w:val="18"/>
            <w:lang w:eastAsia="hi-IN" w:bidi="hi-IN"/>
          </w:rPr>
          <w:t>https://pmc.ncbi.nlm.nih.gov/articles/PMC4232501/</w:t>
        </w:r>
      </w:hyperlink>
    </w:p>
    <w:p w14:paraId="371B3FFB" w14:textId="1ACFE90C" w:rsidR="00760395" w:rsidRPr="00BB58B2" w:rsidRDefault="00760395" w:rsidP="00760395">
      <w:pPr>
        <w:pStyle w:val="Odstavecseseznamem"/>
        <w:shd w:val="clear" w:color="auto" w:fill="FFFFFF"/>
        <w:ind w:left="214"/>
        <w:jc w:val="both"/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2)</w:t>
      </w:r>
      <w:r w:rsidRPr="001422C0">
        <w:rPr>
          <w:rFonts w:ascii="MyriadPro-Regular" w:hAnsi="MyriadPro-Regular" w:cs="MyriadPro-Regular"/>
          <w:sz w:val="48"/>
          <w:szCs w:val="48"/>
          <w14:ligatures w14:val="standardContextual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Recent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updates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of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interferon</w:t>
      </w:r>
      <w:r w:rsidRPr="001422C0">
        <w:rPr>
          <w:rFonts w:ascii="Cambria Math" w:eastAsia="SimSun" w:hAnsi="Cambria Math" w:cs="Cambria Math"/>
          <w:color w:val="EE0000"/>
          <w:sz w:val="18"/>
          <w:szCs w:val="18"/>
          <w:lang w:eastAsia="hi-IN" w:bidi="hi-IN"/>
        </w:rPr>
        <w:t>‑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derived</w:t>
      </w:r>
      <w:proofErr w:type="spellEnd"/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myxovirus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resistance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protein A as a biomarker</w:t>
      </w: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for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acute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viral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infection</w:t>
      </w:r>
      <w:proofErr w:type="spellEnd"/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.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Desalegn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Abebaw1*,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Yibeltal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Akelew1,2,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Adane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Adugna1,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Zigale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>Hibstu</w:t>
      </w:r>
      <w:proofErr w:type="spellEnd"/>
      <w:r w:rsidRPr="001422C0"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 Teffera1</w:t>
      </w:r>
      <w:r>
        <w:rPr>
          <w:rFonts w:ascii="Arial" w:eastAsia="SimSun" w:hAnsi="Arial" w:cs="Arial"/>
          <w:color w:val="EE0000"/>
          <w:sz w:val="18"/>
          <w:szCs w:val="18"/>
          <w:lang w:eastAsia="hi-IN" w:bidi="hi-IN"/>
        </w:rPr>
        <w:t xml:space="preserve">. </w:t>
      </w:r>
      <w:proofErr w:type="spellStart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>European</w:t>
      </w:r>
      <w:proofErr w:type="spellEnd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>Journal</w:t>
      </w:r>
      <w:proofErr w:type="spellEnd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>of</w:t>
      </w:r>
      <w:proofErr w:type="spellEnd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>Medical</w:t>
      </w:r>
      <w:proofErr w:type="spellEnd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 xml:space="preserve"> </w:t>
      </w:r>
      <w:proofErr w:type="spellStart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>Research</w:t>
      </w:r>
      <w:proofErr w:type="spellEnd"/>
      <w:r w:rsidRPr="001422C0"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 xml:space="preserve"> (2024) 29:612</w:t>
      </w:r>
      <w:r>
        <w:rPr>
          <w:rFonts w:ascii="Arial" w:eastAsia="SimSun" w:hAnsi="Arial" w:cs="Arial"/>
          <w:i/>
          <w:iCs/>
          <w:color w:val="EE0000"/>
          <w:sz w:val="18"/>
          <w:szCs w:val="18"/>
          <w:lang w:eastAsia="hi-IN" w:bidi="hi-IN"/>
        </w:rPr>
        <w:t xml:space="preserve"> </w:t>
      </w:r>
      <w:hyperlink r:id="rId14" w:history="1">
        <w:r w:rsidRPr="00A562DB">
          <w:rPr>
            <w:rStyle w:val="Hypertextovodkaz"/>
            <w:rFonts w:ascii="Arial" w:eastAsia="SimSun" w:hAnsi="Arial" w:cs="Arial"/>
            <w:sz w:val="18"/>
            <w:szCs w:val="18"/>
            <w:lang w:eastAsia="hi-IN" w:bidi="hi-IN"/>
          </w:rPr>
          <w:t>https://pubmed.ncbi.nlm.nih.gov/39710743/</w:t>
        </w:r>
      </w:hyperlink>
    </w:p>
    <w:p w14:paraId="4E3D81E1" w14:textId="4606B7C7" w:rsidR="007C69A3" w:rsidRPr="007C69A3" w:rsidRDefault="00BB58B2" w:rsidP="007C69A3">
      <w:pPr>
        <w:jc w:val="both"/>
        <w:rPr>
          <w:color w:val="EE0000"/>
        </w:rPr>
      </w:pPr>
      <w:r w:rsidRPr="00760395">
        <w:rPr>
          <w:b/>
          <w:bCs/>
        </w:rPr>
        <w:t>Způsob úhrady v dalších zemích:</w:t>
      </w:r>
      <w:r w:rsidRPr="00BB58B2">
        <w:t xml:space="preserve"> V USA </w:t>
      </w:r>
      <w:r w:rsidR="00760395">
        <w:t xml:space="preserve">(FDA) </w:t>
      </w:r>
      <w:r w:rsidRPr="00BB58B2">
        <w:t xml:space="preserve">má tento kombinovaný test POCT kód úhradu 41,38 USD, kód PLA: CPT0442U, </w:t>
      </w:r>
      <w:r w:rsidRPr="00760395">
        <w:rPr>
          <w:color w:val="EE0000"/>
        </w:rPr>
        <w:t>v Jižní Koreji</w:t>
      </w:r>
      <w:r w:rsidR="00760395" w:rsidRPr="00760395">
        <w:rPr>
          <w:color w:val="EE0000"/>
        </w:rPr>
        <w:t xml:space="preserve"> (HIRA = </w:t>
      </w:r>
      <w:proofErr w:type="spellStart"/>
      <w:r w:rsidR="00760395" w:rsidRPr="00760395">
        <w:rPr>
          <w:color w:val="EE0000"/>
        </w:rPr>
        <w:t>Health</w:t>
      </w:r>
      <w:proofErr w:type="spellEnd"/>
      <w:r w:rsidR="00760395" w:rsidRPr="00760395">
        <w:rPr>
          <w:color w:val="EE0000"/>
        </w:rPr>
        <w:t xml:space="preserve"> </w:t>
      </w:r>
      <w:proofErr w:type="spellStart"/>
      <w:r w:rsidR="00760395" w:rsidRPr="00760395">
        <w:rPr>
          <w:color w:val="EE0000"/>
        </w:rPr>
        <w:t>Insurance</w:t>
      </w:r>
      <w:proofErr w:type="spellEnd"/>
      <w:r w:rsidR="00760395" w:rsidRPr="00760395">
        <w:rPr>
          <w:color w:val="EE0000"/>
        </w:rPr>
        <w:t xml:space="preserve"> </w:t>
      </w:r>
      <w:proofErr w:type="spellStart"/>
      <w:r w:rsidR="00760395" w:rsidRPr="00760395">
        <w:rPr>
          <w:color w:val="EE0000"/>
        </w:rPr>
        <w:t>Review</w:t>
      </w:r>
      <w:proofErr w:type="spellEnd"/>
      <w:r w:rsidR="00760395" w:rsidRPr="00760395">
        <w:rPr>
          <w:color w:val="EE0000"/>
        </w:rPr>
        <w:t xml:space="preserve"> &amp; </w:t>
      </w:r>
      <w:proofErr w:type="spellStart"/>
      <w:r w:rsidR="00760395" w:rsidRPr="00760395">
        <w:rPr>
          <w:color w:val="EE0000"/>
        </w:rPr>
        <w:t>Assessment</w:t>
      </w:r>
      <w:proofErr w:type="spellEnd"/>
      <w:r w:rsidR="00760395" w:rsidRPr="00760395">
        <w:rPr>
          <w:color w:val="EE0000"/>
        </w:rPr>
        <w:t xml:space="preserve"> </w:t>
      </w:r>
      <w:proofErr w:type="spellStart"/>
      <w:r w:rsidR="00760395" w:rsidRPr="00760395">
        <w:rPr>
          <w:color w:val="EE0000"/>
        </w:rPr>
        <w:t>Service</w:t>
      </w:r>
      <w:proofErr w:type="spellEnd"/>
      <w:r w:rsidR="00760395" w:rsidRPr="00760395">
        <w:rPr>
          <w:color w:val="EE0000"/>
        </w:rPr>
        <w:t>)</w:t>
      </w:r>
      <w:r w:rsidR="00760395">
        <w:rPr>
          <w:color w:val="EE0000"/>
        </w:rPr>
        <w:t>:</w:t>
      </w:r>
      <w:r w:rsidR="00760395" w:rsidRPr="00760395">
        <w:rPr>
          <w:color w:val="EE0000"/>
        </w:rPr>
        <w:t xml:space="preserve"> </w:t>
      </w:r>
      <w:r w:rsidR="007C69A3" w:rsidRPr="007C69A3">
        <w:rPr>
          <w:color w:val="EE0000"/>
        </w:rPr>
        <w:t xml:space="preserve">Je zapojen do rutinní péče / plátci jej uznávají; kód je přístupný pro poskytovatele není online dostupný, Úhrada odpovídá národní strategii antibiotické politiky; Korea běžně </w:t>
      </w:r>
      <w:r w:rsidR="007C69A3" w:rsidRPr="007C69A3">
        <w:rPr>
          <w:b/>
          <w:bCs/>
          <w:color w:val="EE0000"/>
        </w:rPr>
        <w:t>podporuje POC diagnostiku</w:t>
      </w:r>
      <w:r w:rsidR="007C69A3" w:rsidRPr="007C69A3">
        <w:rPr>
          <w:color w:val="EE0000"/>
        </w:rPr>
        <w:t xml:space="preserve"> v primární péči, obzvlášť u infekcí a AMS programů → </w:t>
      </w:r>
      <w:r w:rsidR="007C69A3" w:rsidRPr="007C69A3">
        <w:rPr>
          <w:b/>
          <w:bCs/>
          <w:color w:val="EE0000"/>
          <w:u w:val="single"/>
        </w:rPr>
        <w:t xml:space="preserve">konzistentní s úhradou </w:t>
      </w:r>
      <w:proofErr w:type="spellStart"/>
      <w:r w:rsidR="007C69A3" w:rsidRPr="007C69A3">
        <w:rPr>
          <w:b/>
          <w:bCs/>
          <w:color w:val="EE0000"/>
          <w:u w:val="single"/>
        </w:rPr>
        <w:t>MxA</w:t>
      </w:r>
      <w:proofErr w:type="spellEnd"/>
      <w:r w:rsidR="007C69A3" w:rsidRPr="007C69A3">
        <w:rPr>
          <w:b/>
          <w:bCs/>
          <w:color w:val="EE0000"/>
          <w:u w:val="single"/>
        </w:rPr>
        <w:t>/CRP.</w:t>
      </w:r>
      <w:r w:rsidR="007C69A3" w:rsidRPr="007C69A3">
        <w:rPr>
          <w:color w:val="EE0000"/>
        </w:rPr>
        <w:t xml:space="preserve"> Silný argument pro jiné trhy (včetně EU/NHS). Ve státech EU</w:t>
      </w:r>
      <w:r w:rsidRPr="00BB58B2">
        <w:rPr>
          <w:color w:val="EE0000"/>
        </w:rPr>
        <w:t xml:space="preserve"> je úhrada ve fázích procesu.</w:t>
      </w:r>
      <w:r w:rsidR="007C69A3">
        <w:rPr>
          <w:color w:val="EE0000"/>
        </w:rPr>
        <w:t xml:space="preserve"> V UK (NICU</w:t>
      </w:r>
      <w:r w:rsidR="007C69A3" w:rsidRPr="007C69A3">
        <w:rPr>
          <w:color w:val="EE0000"/>
        </w:rPr>
        <w:t>)</w:t>
      </w:r>
      <w:r w:rsidR="007C69A3">
        <w:rPr>
          <w:color w:val="EE0000"/>
        </w:rPr>
        <w:t xml:space="preserve"> pro velký potenciál</w:t>
      </w:r>
      <w:r w:rsidR="007C69A3" w:rsidRPr="007C69A3">
        <w:rPr>
          <w:color w:val="EE0000"/>
        </w:rPr>
        <w:t xml:space="preserve"> doporučuje pokračující sběr dat účinnosti v reálné klinické praxi. Doposud hrazeno z výzku</w:t>
      </w:r>
      <w:r w:rsidR="007C69A3">
        <w:rPr>
          <w:color w:val="EE0000"/>
        </w:rPr>
        <w:t>m</w:t>
      </w:r>
      <w:r w:rsidR="007C69A3" w:rsidRPr="007C69A3">
        <w:rPr>
          <w:color w:val="EE0000"/>
        </w:rPr>
        <w:t>ných a pilotních projektů</w:t>
      </w:r>
      <w:r w:rsidR="007C69A3">
        <w:rPr>
          <w:color w:val="EE0000"/>
        </w:rPr>
        <w:t>.</w:t>
      </w:r>
    </w:p>
    <w:p w14:paraId="7B79F91A" w14:textId="28AC826F" w:rsidR="00BB58B2" w:rsidRPr="00BB58B2" w:rsidRDefault="00BB58B2" w:rsidP="007C69A3">
      <w:pPr>
        <w:shd w:val="clear" w:color="auto" w:fill="FFFFFF" w:themeFill="background1"/>
        <w:jc w:val="both"/>
        <w:rPr>
          <w:color w:val="EE0000"/>
        </w:rPr>
      </w:pPr>
    </w:p>
    <w:p w14:paraId="518EC45E" w14:textId="3059CCBA" w:rsidR="00BB58B2" w:rsidRDefault="00BB58B2">
      <w:r>
        <w:rPr>
          <w:noProof/>
        </w:rPr>
        <w:lastRenderedPageBreak/>
        <w:drawing>
          <wp:inline distT="0" distB="0" distL="0" distR="0" wp14:anchorId="7E8BD519" wp14:editId="482AE32B">
            <wp:extent cx="8892540" cy="3604260"/>
            <wp:effectExtent l="0" t="0" r="3810" b="0"/>
            <wp:docPr id="173054675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C33D3" w14:textId="1E2BE9B1" w:rsidR="00E43F23" w:rsidRDefault="00C70FF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2EE94" wp14:editId="0D512E3B">
                <wp:simplePos x="0" y="0"/>
                <wp:positionH relativeFrom="column">
                  <wp:posOffset>349885</wp:posOffset>
                </wp:positionH>
                <wp:positionV relativeFrom="paragraph">
                  <wp:posOffset>1538605</wp:posOffset>
                </wp:positionV>
                <wp:extent cx="8892540" cy="3733800"/>
                <wp:effectExtent l="0" t="0" r="0" b="0"/>
                <wp:wrapNone/>
                <wp:docPr id="1139468207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2540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75921" w14:textId="3B6EFCF6" w:rsidR="00C70FF1" w:rsidRPr="00C70FF1" w:rsidRDefault="00C70FF1" w:rsidP="00C70FF1">
                            <w:pPr>
                              <w:jc w:val="center"/>
                              <w:rPr>
                                <w:noProof/>
                                <w:color w:val="EE000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0FF1">
                              <w:rPr>
                                <w:noProof/>
                                <w:color w:val="EE000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Imunoflourescenční analyzátor – víceúčelový POCT AFIAS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32EE9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7.55pt;margin-top:121.15pt;width:700.2pt;height:29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" filled="f" stroked="f">
                <v:textbox style="mso-fit-shape-to-text:t">
                  <w:txbxContent>
                    <w:p w14:paraId="63D75921" w14:textId="3B6EFCF6" w:rsidR="00C70FF1" w:rsidRPr="00C70FF1" w:rsidRDefault="00C70FF1" w:rsidP="00C70FF1">
                      <w:pPr>
                        <w:jc w:val="center"/>
                        <w:rPr>
                          <w:noProof/>
                          <w:color w:val="EE000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70FF1">
                        <w:rPr>
                          <w:noProof/>
                          <w:color w:val="EE000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Imunoflourescenční analyzátor – víceúčelový POCT AFIAS</w:t>
                      </w:r>
                    </w:p>
                  </w:txbxContent>
                </v:textbox>
              </v:shape>
            </w:pict>
          </mc:Fallback>
        </mc:AlternateContent>
      </w:r>
      <w:r w:rsidR="00E43F23">
        <w:rPr>
          <w:noProof/>
        </w:rPr>
        <w:drawing>
          <wp:inline distT="0" distB="0" distL="0" distR="0" wp14:anchorId="0090D5BD" wp14:editId="7CF1D7DC">
            <wp:extent cx="8892540" cy="3733800"/>
            <wp:effectExtent l="0" t="0" r="3810" b="0"/>
            <wp:docPr id="58201533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A2315" w14:textId="44B06AEA" w:rsidR="00E43F23" w:rsidRDefault="00E43F23">
      <w:r>
        <w:rPr>
          <w:noProof/>
        </w:rPr>
        <w:drawing>
          <wp:inline distT="0" distB="0" distL="0" distR="0" wp14:anchorId="4EDC0274" wp14:editId="2A601FCB">
            <wp:extent cx="8884920" cy="487680"/>
            <wp:effectExtent l="0" t="0" r="0" b="7620"/>
            <wp:docPr id="184583499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492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3F23" w:rsidSect="00B723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61361"/>
    <w:multiLevelType w:val="hybridMultilevel"/>
    <w:tmpl w:val="569AD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D308A"/>
    <w:multiLevelType w:val="hybridMultilevel"/>
    <w:tmpl w:val="A476BDAC"/>
    <w:lvl w:ilvl="0" w:tplc="FE5A490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339877">
    <w:abstractNumId w:val="1"/>
  </w:num>
  <w:num w:numId="2" w16cid:durableId="1215771171">
    <w:abstractNumId w:val="0"/>
  </w:num>
  <w:num w:numId="3" w16cid:durableId="1227036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3D5"/>
    <w:rsid w:val="000227F2"/>
    <w:rsid w:val="00111202"/>
    <w:rsid w:val="001422C0"/>
    <w:rsid w:val="00156D19"/>
    <w:rsid w:val="001668B0"/>
    <w:rsid w:val="0019780B"/>
    <w:rsid w:val="00271322"/>
    <w:rsid w:val="003338C3"/>
    <w:rsid w:val="00392FD7"/>
    <w:rsid w:val="004473D2"/>
    <w:rsid w:val="00474790"/>
    <w:rsid w:val="004E7215"/>
    <w:rsid w:val="004F49DA"/>
    <w:rsid w:val="00591C68"/>
    <w:rsid w:val="005B7F16"/>
    <w:rsid w:val="005C331E"/>
    <w:rsid w:val="005D4D92"/>
    <w:rsid w:val="006007BD"/>
    <w:rsid w:val="00711B24"/>
    <w:rsid w:val="00760395"/>
    <w:rsid w:val="007C69A3"/>
    <w:rsid w:val="00872099"/>
    <w:rsid w:val="008E11A7"/>
    <w:rsid w:val="00A562DB"/>
    <w:rsid w:val="00A9591D"/>
    <w:rsid w:val="00B30687"/>
    <w:rsid w:val="00B318C7"/>
    <w:rsid w:val="00B723D5"/>
    <w:rsid w:val="00BB58B2"/>
    <w:rsid w:val="00BE7C2A"/>
    <w:rsid w:val="00C018DC"/>
    <w:rsid w:val="00C70FF1"/>
    <w:rsid w:val="00CF7E1E"/>
    <w:rsid w:val="00D0378B"/>
    <w:rsid w:val="00D324BE"/>
    <w:rsid w:val="00E43F23"/>
    <w:rsid w:val="00FF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239A"/>
  <w15:chartTrackingRefBased/>
  <w15:docId w15:val="{AB563BFC-FFB8-4D8C-B5D4-39BE0C6E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23D5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723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23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23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23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23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23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23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23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23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723D5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23D5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23D5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23D5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23D5"/>
    <w:rPr>
      <w:rFonts w:eastAsiaTheme="majorEastAsia" w:cstheme="majorBidi"/>
      <w:noProof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23D5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23D5"/>
    <w:rPr>
      <w:rFonts w:eastAsiaTheme="majorEastAsia" w:cstheme="majorBidi"/>
      <w:noProof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23D5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23D5"/>
    <w:rPr>
      <w:rFonts w:eastAsiaTheme="majorEastAsia" w:cstheme="majorBidi"/>
      <w:noProof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723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723D5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723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723D5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723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723D5"/>
    <w:rPr>
      <w:i/>
      <w:iCs/>
      <w:noProof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723D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723D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723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723D5"/>
    <w:rPr>
      <w:i/>
      <w:iCs/>
      <w:noProof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723D5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59"/>
    <w:rsid w:val="00B723D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B723D5"/>
    <w:rPr>
      <w:noProof/>
    </w:rPr>
  </w:style>
  <w:style w:type="character" w:styleId="Hypertextovodkaz">
    <w:name w:val="Hyperlink"/>
    <w:basedOn w:val="Standardnpsmoodstavce"/>
    <w:uiPriority w:val="99"/>
    <w:unhideWhenUsed/>
    <w:rsid w:val="005C331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C33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term=%22Bjerrum%20L%22%5BAuthor%5D" TargetMode="External"/><Relationship Id="rId13" Type="http://schemas.openxmlformats.org/officeDocument/2006/relationships/hyperlink" Target="https://pmc.ncbi.nlm.nih.gov/articles/PMC4232501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?term=%22Llor%20C%22%5BAuthor%5D" TargetMode="External"/><Relationship Id="rId12" Type="http://schemas.openxmlformats.org/officeDocument/2006/relationships/hyperlink" Target="https://pubmed.ncbi.nlm.nih.gov/?term=%22Bjerrum%20L%22%5BAuthor%5D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pubmed.ncbi.nlm.nih.gov/?term=%22Llor%20C%22%5BAuthor%5D" TargetMode="External"/><Relationship Id="rId5" Type="http://schemas.openxmlformats.org/officeDocument/2006/relationships/hyperlink" Target="https://doi.org/10.1128/spectrum.02031-21" TargetMode="External"/><Relationship Id="rId15" Type="http://schemas.openxmlformats.org/officeDocument/2006/relationships/image" Target="media/image2.png"/><Relationship Id="rId10" Type="http://schemas.openxmlformats.org/officeDocument/2006/relationships/hyperlink" Target="https://pubmed.ncbi.nlm.nih.gov/39710743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mc.ncbi.nlm.nih.gov/articles/PMC4232501/" TargetMode="External"/><Relationship Id="rId14" Type="http://schemas.openxmlformats.org/officeDocument/2006/relationships/hyperlink" Target="https://pubmed.ncbi.nlm.nih.gov/39710743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2068</Words>
  <Characters>12205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Krnáčová</dc:creator>
  <cp:keywords/>
  <dc:description/>
  <cp:lastModifiedBy>Dagmar Gotzmannova</cp:lastModifiedBy>
  <cp:revision>3</cp:revision>
  <dcterms:created xsi:type="dcterms:W3CDTF">2025-11-02T20:25:00Z</dcterms:created>
  <dcterms:modified xsi:type="dcterms:W3CDTF">2025-11-02T20:31:00Z</dcterms:modified>
</cp:coreProperties>
</file>